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B0D52" w14:textId="30B503EE" w:rsidR="00EC63C9" w:rsidRPr="00F87603" w:rsidRDefault="00C81B62" w:rsidP="00EC63C9">
      <w:pPr>
        <w:pStyle w:val="Title"/>
        <w:rPr>
          <w:rFonts w:asciiTheme="majorHAnsi" w:hAnsiTheme="majorHAnsi" w:cstheme="majorHAnsi"/>
          <w:color w:val="ED6A00"/>
        </w:rPr>
      </w:pPr>
      <w:bookmarkStart w:id="0" w:name="_GoBack"/>
      <w:bookmarkEnd w:id="0"/>
      <w:r>
        <w:rPr>
          <w:rFonts w:asciiTheme="majorHAnsi" w:hAnsiTheme="majorHAnsi" w:cstheme="majorHAnsi"/>
          <w:color w:val="ED6A00"/>
        </w:rPr>
        <w:t>Shungnak</w:t>
      </w:r>
      <w:r w:rsidR="00EB628B">
        <w:rPr>
          <w:rFonts w:asciiTheme="majorHAnsi" w:hAnsiTheme="majorHAnsi" w:cstheme="majorHAnsi"/>
          <w:color w:val="ED6A00"/>
        </w:rPr>
        <w:t xml:space="preserve"> Mini-grid Business Case</w:t>
      </w:r>
    </w:p>
    <w:p w14:paraId="5B4AE851" w14:textId="175F0D61" w:rsidR="00EC63C9" w:rsidRPr="00F87603" w:rsidRDefault="00EC63C9" w:rsidP="00EC63C9">
      <w:pPr>
        <w:pStyle w:val="FrontMatterCoverSubtitle"/>
        <w:rPr>
          <w:rFonts w:asciiTheme="majorHAnsi" w:hAnsiTheme="majorHAnsi" w:cstheme="majorHAnsi"/>
        </w:rPr>
      </w:pPr>
    </w:p>
    <w:p w14:paraId="63BF4A0F" w14:textId="37D0138F" w:rsidR="00EC63C9" w:rsidRPr="00F87603" w:rsidRDefault="00D87B21" w:rsidP="00EC63C9">
      <w:pPr>
        <w:pStyle w:val="FrontMatterCoverDate"/>
        <w:rPr>
          <w:rFonts w:asciiTheme="majorHAnsi" w:hAnsiTheme="majorHAnsi" w:cstheme="majorHAnsi"/>
        </w:rPr>
      </w:pPr>
      <w:r>
        <w:rPr>
          <w:rFonts w:asciiTheme="majorHAnsi" w:hAnsiTheme="majorHAnsi" w:cstheme="majorHAnsi"/>
        </w:rPr>
        <w:t>November 2017</w:t>
      </w:r>
    </w:p>
    <w:p w14:paraId="3C890B19" w14:textId="1C4291C1" w:rsidR="00EC63C9" w:rsidRPr="00F87603" w:rsidRDefault="00C2107A" w:rsidP="00EC63C9">
      <w:pPr>
        <w:pStyle w:val="FrontMatterCoverAuthorName"/>
        <w:rPr>
          <w:rFonts w:asciiTheme="majorHAnsi" w:hAnsiTheme="majorHAnsi" w:cstheme="majorHAnsi"/>
        </w:rPr>
      </w:pPr>
      <w:r>
        <w:rPr>
          <w:rFonts w:asciiTheme="majorHAnsi" w:hAnsiTheme="majorHAnsi" w:cstheme="majorHAnsi"/>
        </w:rPr>
        <w:t>MR Weimar</w:t>
      </w:r>
      <w:r w:rsidR="00EC63C9" w:rsidRPr="00F87603">
        <w:rPr>
          <w:rFonts w:asciiTheme="majorHAnsi" w:hAnsiTheme="majorHAnsi" w:cstheme="majorHAnsi"/>
        </w:rPr>
        <w:tab/>
      </w:r>
    </w:p>
    <w:p w14:paraId="707B9C44" w14:textId="78DF69A0" w:rsidR="00E12AF4" w:rsidRPr="00F87603" w:rsidRDefault="00C2107A" w:rsidP="00EC63C9">
      <w:pPr>
        <w:pStyle w:val="FrontMatterCoverAuthorName"/>
        <w:rPr>
          <w:rFonts w:asciiTheme="majorHAnsi" w:hAnsiTheme="majorHAnsi" w:cstheme="majorHAnsi"/>
        </w:rPr>
      </w:pPr>
      <w:r>
        <w:rPr>
          <w:rFonts w:asciiTheme="majorHAnsi" w:hAnsiTheme="majorHAnsi" w:cstheme="majorHAnsi"/>
        </w:rPr>
        <w:t>TD Hardy</w:t>
      </w:r>
      <w:r w:rsidR="00EC63C9" w:rsidRPr="00F87603">
        <w:rPr>
          <w:rFonts w:asciiTheme="majorHAnsi" w:hAnsiTheme="majorHAnsi" w:cstheme="majorHAnsi"/>
        </w:rPr>
        <w:tab/>
      </w:r>
    </w:p>
    <w:p w14:paraId="5126C2E8" w14:textId="77777777" w:rsidR="00357AD6" w:rsidRPr="00F87603" w:rsidRDefault="00357AD6" w:rsidP="00EC63C9">
      <w:pPr>
        <w:pStyle w:val="FrontMatterCoverAuthorName"/>
        <w:rPr>
          <w:rFonts w:asciiTheme="majorHAnsi" w:hAnsiTheme="majorHAnsi" w:cstheme="majorHAnsi"/>
        </w:rPr>
      </w:pPr>
    </w:p>
    <w:p w14:paraId="57100ED4" w14:textId="77777777" w:rsidR="00E12AF4" w:rsidRPr="00F87603" w:rsidRDefault="00E12AF4" w:rsidP="00354F18">
      <w:pPr>
        <w:pStyle w:val="FrontMatterCoverDate"/>
        <w:ind w:right="-367"/>
        <w:rPr>
          <w:rFonts w:asciiTheme="majorHAnsi" w:hAnsiTheme="majorHAnsi" w:cstheme="majorHAnsi"/>
        </w:rPr>
        <w:sectPr w:rsidR="00E12AF4" w:rsidRPr="00F87603" w:rsidSect="00354F18">
          <w:headerReference w:type="default" r:id="rId10"/>
          <w:footerReference w:type="even" r:id="rId11"/>
          <w:footerReference w:type="default" r:id="rId12"/>
          <w:footnotePr>
            <w:numRestart w:val="eachPage"/>
          </w:footnotePr>
          <w:pgSz w:w="12240" w:h="15840" w:code="1"/>
          <w:pgMar w:top="6667" w:right="1440" w:bottom="3240" w:left="1627" w:header="907" w:footer="907" w:gutter="0"/>
          <w:cols w:space="720"/>
        </w:sectPr>
      </w:pPr>
    </w:p>
    <w:p w14:paraId="1E15BEF9" w14:textId="77777777" w:rsidR="00E12AF4" w:rsidRPr="00F87603" w:rsidRDefault="00E12AF4" w:rsidP="00C4461B">
      <w:pPr>
        <w:pStyle w:val="FrontMatterTitlePageText"/>
        <w:rPr>
          <w:rFonts w:asciiTheme="majorHAnsi" w:hAnsiTheme="majorHAnsi" w:cstheme="majorHAnsi"/>
        </w:rPr>
      </w:pPr>
    </w:p>
    <w:p w14:paraId="434C15C6" w14:textId="77777777" w:rsidR="00E12AF4" w:rsidRPr="00F87603" w:rsidRDefault="00E12AF4" w:rsidP="00C4461B">
      <w:pPr>
        <w:pStyle w:val="FrontMatterTitlePageText"/>
        <w:rPr>
          <w:rFonts w:asciiTheme="majorHAnsi" w:hAnsiTheme="majorHAnsi" w:cstheme="majorHAnsi"/>
        </w:rPr>
      </w:pPr>
    </w:p>
    <w:p w14:paraId="58EC1310" w14:textId="77777777" w:rsidR="00E12AF4" w:rsidRPr="00F87603" w:rsidRDefault="00E12AF4" w:rsidP="00C4461B">
      <w:pPr>
        <w:pStyle w:val="FrontMatterTitlePageText"/>
        <w:rPr>
          <w:rFonts w:asciiTheme="majorHAnsi" w:hAnsiTheme="majorHAnsi" w:cstheme="majorHAnsi"/>
        </w:rPr>
      </w:pPr>
    </w:p>
    <w:p w14:paraId="73A42740" w14:textId="77777777" w:rsidR="00E12AF4" w:rsidRPr="00F87603" w:rsidRDefault="00E12AF4" w:rsidP="00C4461B">
      <w:pPr>
        <w:pStyle w:val="FrontMatterTitlePageText"/>
        <w:rPr>
          <w:rFonts w:asciiTheme="majorHAnsi" w:hAnsiTheme="majorHAnsi" w:cstheme="majorHAnsi"/>
        </w:rPr>
      </w:pPr>
    </w:p>
    <w:p w14:paraId="7B82A54D" w14:textId="77777777" w:rsidR="00E12AF4" w:rsidRPr="00F87603" w:rsidRDefault="00E12AF4" w:rsidP="00C4461B">
      <w:pPr>
        <w:pStyle w:val="FrontMatterTitlePageText"/>
        <w:rPr>
          <w:rFonts w:asciiTheme="majorHAnsi" w:hAnsiTheme="majorHAnsi" w:cstheme="majorHAnsi"/>
        </w:rPr>
      </w:pPr>
    </w:p>
    <w:p w14:paraId="5E0C8045" w14:textId="77777777" w:rsidR="00E12AF4" w:rsidRPr="00F87603" w:rsidRDefault="00E12AF4" w:rsidP="00C4461B">
      <w:pPr>
        <w:pStyle w:val="FrontMatterTitlePageText"/>
        <w:rPr>
          <w:rFonts w:asciiTheme="majorHAnsi" w:hAnsiTheme="majorHAnsi" w:cstheme="majorHAnsi"/>
        </w:rPr>
      </w:pPr>
    </w:p>
    <w:p w14:paraId="20A1B64D" w14:textId="77777777" w:rsidR="00E12AF4" w:rsidRPr="00F87603" w:rsidRDefault="00E12AF4" w:rsidP="00C4461B">
      <w:pPr>
        <w:pStyle w:val="FrontMatterTitlePageText"/>
        <w:rPr>
          <w:rFonts w:asciiTheme="majorHAnsi" w:hAnsiTheme="majorHAnsi" w:cstheme="majorHAnsi"/>
        </w:rPr>
      </w:pPr>
    </w:p>
    <w:p w14:paraId="76DB7CA3" w14:textId="77777777" w:rsidR="00E12AF4" w:rsidRPr="00F87603" w:rsidRDefault="00E12AF4" w:rsidP="00C4461B">
      <w:pPr>
        <w:pStyle w:val="FrontMatterTitlePageText"/>
        <w:rPr>
          <w:rFonts w:asciiTheme="majorHAnsi" w:hAnsiTheme="majorHAnsi" w:cstheme="majorHAnsi"/>
        </w:rPr>
      </w:pPr>
    </w:p>
    <w:p w14:paraId="5D498328" w14:textId="77777777" w:rsidR="00E12AF4" w:rsidRPr="00F87603" w:rsidRDefault="00E12AF4" w:rsidP="00C4461B">
      <w:pPr>
        <w:pStyle w:val="FrontMatterTitlePageText"/>
        <w:rPr>
          <w:rFonts w:asciiTheme="majorHAnsi" w:hAnsiTheme="majorHAnsi" w:cstheme="majorHAnsi"/>
        </w:rPr>
      </w:pPr>
    </w:p>
    <w:p w14:paraId="68397ECE" w14:textId="77777777" w:rsidR="00E12AF4" w:rsidRPr="00F87603" w:rsidRDefault="00E12AF4" w:rsidP="00C4461B">
      <w:pPr>
        <w:pStyle w:val="FrontMatterTitlePageText"/>
        <w:rPr>
          <w:rFonts w:asciiTheme="majorHAnsi" w:hAnsiTheme="majorHAnsi" w:cstheme="majorHAnsi"/>
        </w:rPr>
      </w:pPr>
    </w:p>
    <w:p w14:paraId="00C2868C" w14:textId="0CE56CEB" w:rsidR="00E12AF4" w:rsidRPr="00F87603" w:rsidRDefault="00C81B62" w:rsidP="00C4461B">
      <w:pPr>
        <w:pStyle w:val="FrontMatterTitlePageTitle"/>
        <w:rPr>
          <w:rFonts w:asciiTheme="majorHAnsi" w:hAnsiTheme="majorHAnsi" w:cstheme="majorHAnsi"/>
        </w:rPr>
      </w:pPr>
      <w:r>
        <w:rPr>
          <w:rFonts w:asciiTheme="majorHAnsi" w:hAnsiTheme="majorHAnsi" w:cstheme="majorHAnsi"/>
        </w:rPr>
        <w:t>Shungnak Mini-grid Business Case</w:t>
      </w:r>
    </w:p>
    <w:p w14:paraId="41B056F1" w14:textId="34910719" w:rsidR="00E12AF4" w:rsidRPr="00F87603" w:rsidRDefault="00E12AF4" w:rsidP="00C4461B">
      <w:pPr>
        <w:pStyle w:val="FrontMatterTitlePageSubtitle"/>
        <w:rPr>
          <w:rFonts w:asciiTheme="majorHAnsi" w:hAnsiTheme="majorHAnsi" w:cstheme="majorHAnsi"/>
        </w:rPr>
      </w:pPr>
    </w:p>
    <w:p w14:paraId="25042A3B" w14:textId="77777777" w:rsidR="00E12AF4" w:rsidRPr="00F87603" w:rsidRDefault="00E12AF4" w:rsidP="00C4461B">
      <w:pPr>
        <w:pStyle w:val="FrontMatterTitlePageText"/>
        <w:rPr>
          <w:rFonts w:asciiTheme="majorHAnsi" w:hAnsiTheme="majorHAnsi" w:cstheme="majorHAnsi"/>
        </w:rPr>
      </w:pPr>
    </w:p>
    <w:p w14:paraId="2BD4CDBC" w14:textId="77777777" w:rsidR="00E12AF4" w:rsidRPr="00F87603" w:rsidRDefault="00E12AF4" w:rsidP="00C4461B">
      <w:pPr>
        <w:pStyle w:val="FrontMatterTitlePageText"/>
        <w:rPr>
          <w:rFonts w:asciiTheme="majorHAnsi" w:hAnsiTheme="majorHAnsi" w:cstheme="majorHAnsi"/>
        </w:rPr>
      </w:pPr>
    </w:p>
    <w:p w14:paraId="1DE576E5" w14:textId="77777777" w:rsidR="00E12AF4" w:rsidRPr="00F87603" w:rsidRDefault="00E12AF4" w:rsidP="00C4461B">
      <w:pPr>
        <w:pStyle w:val="FrontMatterTitlePageText"/>
        <w:rPr>
          <w:rFonts w:asciiTheme="majorHAnsi" w:hAnsiTheme="majorHAnsi" w:cstheme="majorHAnsi"/>
        </w:rPr>
      </w:pPr>
    </w:p>
    <w:p w14:paraId="070F019E" w14:textId="2DE41297" w:rsidR="00E12AF4" w:rsidRPr="00F87603" w:rsidRDefault="009707B0" w:rsidP="00C4461B">
      <w:pPr>
        <w:pStyle w:val="FrontMatterTitlePageText"/>
        <w:rPr>
          <w:rFonts w:asciiTheme="majorHAnsi" w:hAnsiTheme="majorHAnsi" w:cstheme="majorHAnsi"/>
        </w:rPr>
      </w:pPr>
      <w:r>
        <w:rPr>
          <w:rFonts w:asciiTheme="majorHAnsi" w:hAnsiTheme="majorHAnsi" w:cstheme="majorHAnsi"/>
        </w:rPr>
        <w:t>MR Weimar</w:t>
      </w:r>
      <w:r w:rsidR="00E12AF4" w:rsidRPr="00F87603">
        <w:rPr>
          <w:rFonts w:asciiTheme="majorHAnsi" w:hAnsiTheme="majorHAnsi" w:cstheme="majorHAnsi"/>
        </w:rPr>
        <w:tab/>
      </w:r>
      <w:r>
        <w:rPr>
          <w:rFonts w:asciiTheme="majorHAnsi" w:hAnsiTheme="majorHAnsi" w:cstheme="majorHAnsi"/>
        </w:rPr>
        <w:t>T</w:t>
      </w:r>
      <w:r w:rsidR="00C2107A">
        <w:rPr>
          <w:rFonts w:asciiTheme="majorHAnsi" w:hAnsiTheme="majorHAnsi" w:cstheme="majorHAnsi"/>
        </w:rPr>
        <w:t>D</w:t>
      </w:r>
      <w:r>
        <w:rPr>
          <w:rFonts w:asciiTheme="majorHAnsi" w:hAnsiTheme="majorHAnsi" w:cstheme="majorHAnsi"/>
        </w:rPr>
        <w:t xml:space="preserve"> Hardy</w:t>
      </w:r>
    </w:p>
    <w:p w14:paraId="65BDB661" w14:textId="40DE6192" w:rsidR="00E12AF4" w:rsidRPr="00F87603" w:rsidRDefault="00E12AF4" w:rsidP="00C4461B">
      <w:pPr>
        <w:pStyle w:val="FrontMatterTitlePageText"/>
        <w:rPr>
          <w:rFonts w:asciiTheme="majorHAnsi" w:hAnsiTheme="majorHAnsi" w:cstheme="majorHAnsi"/>
        </w:rPr>
      </w:pPr>
      <w:r w:rsidRPr="00F87603">
        <w:rPr>
          <w:rFonts w:asciiTheme="majorHAnsi" w:hAnsiTheme="majorHAnsi" w:cstheme="majorHAnsi"/>
        </w:rPr>
        <w:tab/>
      </w:r>
    </w:p>
    <w:p w14:paraId="3A0A98FB" w14:textId="77777777" w:rsidR="00E12AF4" w:rsidRPr="00F87603" w:rsidRDefault="00E12AF4" w:rsidP="00C4461B">
      <w:pPr>
        <w:pStyle w:val="FrontMatterTitlePageText"/>
        <w:rPr>
          <w:rFonts w:asciiTheme="majorHAnsi" w:hAnsiTheme="majorHAnsi" w:cstheme="majorHAnsi"/>
        </w:rPr>
      </w:pPr>
    </w:p>
    <w:p w14:paraId="439BA4AF" w14:textId="77777777" w:rsidR="00E12AF4" w:rsidRPr="00F87603" w:rsidRDefault="00E12AF4" w:rsidP="00C4461B">
      <w:pPr>
        <w:pStyle w:val="FrontMatterTitlePageText"/>
        <w:rPr>
          <w:rFonts w:asciiTheme="majorHAnsi" w:hAnsiTheme="majorHAnsi" w:cstheme="majorHAnsi"/>
        </w:rPr>
      </w:pPr>
    </w:p>
    <w:p w14:paraId="45099CB3" w14:textId="77777777" w:rsidR="00E12AF4" w:rsidRPr="00F87603" w:rsidRDefault="00E12AF4" w:rsidP="00C4461B">
      <w:pPr>
        <w:pStyle w:val="FrontMatterTitlePageText"/>
        <w:rPr>
          <w:rFonts w:asciiTheme="majorHAnsi" w:hAnsiTheme="majorHAnsi" w:cstheme="majorHAnsi"/>
        </w:rPr>
      </w:pPr>
    </w:p>
    <w:p w14:paraId="1CCD51AD" w14:textId="77777777" w:rsidR="00E12AF4" w:rsidRPr="00F87603" w:rsidRDefault="00E12AF4" w:rsidP="00C4461B">
      <w:pPr>
        <w:pStyle w:val="FrontMatterTitlePageText"/>
        <w:rPr>
          <w:rFonts w:asciiTheme="majorHAnsi" w:hAnsiTheme="majorHAnsi" w:cstheme="majorHAnsi"/>
        </w:rPr>
      </w:pPr>
    </w:p>
    <w:p w14:paraId="0BC31ABD" w14:textId="77777777" w:rsidR="00E12AF4" w:rsidRPr="00F87603" w:rsidRDefault="00E12AF4" w:rsidP="00C4461B">
      <w:pPr>
        <w:pStyle w:val="FrontMatterTitlePageText"/>
        <w:rPr>
          <w:rFonts w:asciiTheme="majorHAnsi" w:hAnsiTheme="majorHAnsi" w:cstheme="majorHAnsi"/>
        </w:rPr>
      </w:pPr>
    </w:p>
    <w:p w14:paraId="56E583AC" w14:textId="53FCDBD8" w:rsidR="00E12AF4" w:rsidRPr="00F87603" w:rsidRDefault="00D87B21" w:rsidP="00C4461B">
      <w:pPr>
        <w:pStyle w:val="FrontMatterTitlePageText"/>
        <w:rPr>
          <w:rFonts w:asciiTheme="majorHAnsi" w:hAnsiTheme="majorHAnsi" w:cstheme="majorHAnsi"/>
        </w:rPr>
      </w:pPr>
      <w:r>
        <w:rPr>
          <w:rFonts w:asciiTheme="majorHAnsi" w:hAnsiTheme="majorHAnsi" w:cstheme="majorHAnsi"/>
        </w:rPr>
        <w:t>November 2017</w:t>
      </w:r>
    </w:p>
    <w:p w14:paraId="3DF95479" w14:textId="77777777" w:rsidR="00E12AF4" w:rsidRPr="00F87603" w:rsidRDefault="00E12AF4" w:rsidP="00C4461B">
      <w:pPr>
        <w:pStyle w:val="FrontMatterTitlePageText"/>
        <w:rPr>
          <w:rFonts w:asciiTheme="majorHAnsi" w:hAnsiTheme="majorHAnsi" w:cstheme="majorHAnsi"/>
        </w:rPr>
      </w:pPr>
    </w:p>
    <w:p w14:paraId="212A6A85" w14:textId="77777777" w:rsidR="00E12AF4" w:rsidRPr="00F87603" w:rsidRDefault="00E12AF4" w:rsidP="00C4461B">
      <w:pPr>
        <w:pStyle w:val="FrontMatterTitlePageText"/>
        <w:rPr>
          <w:rFonts w:asciiTheme="majorHAnsi" w:hAnsiTheme="majorHAnsi" w:cstheme="majorHAnsi"/>
        </w:rPr>
      </w:pPr>
    </w:p>
    <w:p w14:paraId="73452B82" w14:textId="77777777" w:rsidR="00E12AF4" w:rsidRPr="00F87603" w:rsidRDefault="00E12AF4" w:rsidP="00C4461B">
      <w:pPr>
        <w:pStyle w:val="FrontMatterTitlePageText"/>
        <w:rPr>
          <w:rFonts w:asciiTheme="majorHAnsi" w:hAnsiTheme="majorHAnsi" w:cstheme="majorHAnsi"/>
        </w:rPr>
      </w:pPr>
    </w:p>
    <w:p w14:paraId="3FA30719" w14:textId="77777777" w:rsidR="00E12AF4" w:rsidRPr="00F87603" w:rsidRDefault="00E12AF4" w:rsidP="00C4461B">
      <w:pPr>
        <w:pStyle w:val="FrontMatterTitlePageText"/>
        <w:rPr>
          <w:rFonts w:asciiTheme="majorHAnsi" w:hAnsiTheme="majorHAnsi" w:cstheme="majorHAnsi"/>
        </w:rPr>
      </w:pPr>
    </w:p>
    <w:p w14:paraId="6C542112" w14:textId="77777777" w:rsidR="00E12AF4" w:rsidRPr="00F87603" w:rsidRDefault="00E12AF4" w:rsidP="00C4461B">
      <w:pPr>
        <w:pStyle w:val="FrontMatterTitlePageText"/>
        <w:rPr>
          <w:rFonts w:asciiTheme="majorHAnsi" w:hAnsiTheme="majorHAnsi" w:cstheme="majorHAnsi"/>
        </w:rPr>
      </w:pPr>
    </w:p>
    <w:p w14:paraId="7285AB51" w14:textId="77777777" w:rsidR="00E12AF4" w:rsidRPr="00F87603" w:rsidRDefault="00E12AF4" w:rsidP="00C4461B">
      <w:pPr>
        <w:pStyle w:val="FrontMatterTitlePageText"/>
        <w:rPr>
          <w:rFonts w:asciiTheme="majorHAnsi" w:hAnsiTheme="majorHAnsi" w:cstheme="majorHAnsi"/>
        </w:rPr>
      </w:pPr>
    </w:p>
    <w:p w14:paraId="0D0A4554" w14:textId="77777777" w:rsidR="00E12AF4" w:rsidRPr="00F87603" w:rsidRDefault="00E12AF4" w:rsidP="00C4461B">
      <w:pPr>
        <w:pStyle w:val="FrontMatterTitlePageText"/>
        <w:rPr>
          <w:rFonts w:asciiTheme="majorHAnsi" w:hAnsiTheme="majorHAnsi" w:cstheme="majorHAnsi"/>
        </w:rPr>
        <w:sectPr w:rsidR="00E12AF4" w:rsidRPr="00F87603" w:rsidSect="00847D7D">
          <w:headerReference w:type="default" r:id="rId13"/>
          <w:footerReference w:type="even" r:id="rId14"/>
          <w:footerReference w:type="default" r:id="rId15"/>
          <w:footnotePr>
            <w:numRestart w:val="eachPage"/>
          </w:footnotePr>
          <w:type w:val="oddPage"/>
          <w:pgSz w:w="12240" w:h="15840" w:code="1"/>
          <w:pgMar w:top="1440" w:right="1440" w:bottom="1440" w:left="3600" w:header="720" w:footer="880" w:gutter="0"/>
          <w:pgNumType w:fmt="lowerRoman" w:start="1"/>
          <w:cols w:space="720"/>
        </w:sectPr>
      </w:pPr>
    </w:p>
    <w:p w14:paraId="5E126794" w14:textId="77777777" w:rsidR="00E12AF4" w:rsidRPr="00F87603" w:rsidRDefault="00E12AF4" w:rsidP="004023E7">
      <w:pPr>
        <w:pStyle w:val="Heading-FrontTOC"/>
        <w:rPr>
          <w:rFonts w:asciiTheme="majorHAnsi" w:hAnsiTheme="majorHAnsi" w:cstheme="majorHAnsi"/>
        </w:rPr>
      </w:pPr>
      <w:bookmarkStart w:id="1" w:name="_Toc195079663"/>
      <w:bookmarkStart w:id="2" w:name="_Toc496624716"/>
      <w:r w:rsidRPr="00F87603">
        <w:rPr>
          <w:rFonts w:asciiTheme="majorHAnsi" w:hAnsiTheme="majorHAnsi" w:cstheme="majorHAnsi"/>
        </w:rPr>
        <w:lastRenderedPageBreak/>
        <w:t>Abstract</w:t>
      </w:r>
      <w:bookmarkEnd w:id="1"/>
      <w:bookmarkEnd w:id="2"/>
    </w:p>
    <w:p w14:paraId="031C7E39" w14:textId="77777777" w:rsidR="00932476" w:rsidRPr="00F87603" w:rsidRDefault="00932476" w:rsidP="00576E1F">
      <w:pPr>
        <w:pStyle w:val="BodyText"/>
        <w:rPr>
          <w:rFonts w:asciiTheme="majorHAnsi" w:hAnsiTheme="majorHAnsi" w:cstheme="majorHAnsi"/>
        </w:rPr>
      </w:pPr>
    </w:p>
    <w:p w14:paraId="772301EF" w14:textId="1E1720F8" w:rsidR="0087276F" w:rsidRDefault="006672B7" w:rsidP="00576E1F">
      <w:pPr>
        <w:pStyle w:val="BodyText"/>
        <w:rPr>
          <w:rFonts w:asciiTheme="minorHAnsi" w:hAnsiTheme="minorHAnsi" w:cstheme="minorHAnsi"/>
        </w:rPr>
      </w:pPr>
      <w:r w:rsidRPr="00AF3386">
        <w:rPr>
          <w:rFonts w:asciiTheme="minorHAnsi" w:hAnsiTheme="minorHAnsi" w:cstheme="minorHAnsi"/>
        </w:rPr>
        <w:t xml:space="preserve">A business case analysis was performed for the Village of </w:t>
      </w:r>
      <w:r w:rsidR="00C81B62" w:rsidRPr="00AF3386">
        <w:rPr>
          <w:rFonts w:asciiTheme="minorHAnsi" w:hAnsiTheme="minorHAnsi" w:cstheme="minorHAnsi"/>
        </w:rPr>
        <w:t>Shungnak</w:t>
      </w:r>
      <w:r w:rsidR="00480DE0">
        <w:rPr>
          <w:rFonts w:asciiTheme="minorHAnsi" w:hAnsiTheme="minorHAnsi" w:cstheme="minorHAnsi"/>
        </w:rPr>
        <w:t xml:space="preserve"> for an islanded mini-grid</w:t>
      </w:r>
      <w:r w:rsidRPr="00AF3386">
        <w:rPr>
          <w:rFonts w:asciiTheme="minorHAnsi" w:hAnsiTheme="minorHAnsi" w:cstheme="minorHAnsi"/>
        </w:rPr>
        <w:t xml:space="preserve">. The business case analysis evaluated the optimal </w:t>
      </w:r>
      <w:r w:rsidR="00480DE0">
        <w:rPr>
          <w:rFonts w:asciiTheme="minorHAnsi" w:hAnsiTheme="minorHAnsi" w:cstheme="minorHAnsi"/>
        </w:rPr>
        <w:t>mini-grid configuration</w:t>
      </w:r>
      <w:r w:rsidRPr="00AF3386">
        <w:rPr>
          <w:rFonts w:asciiTheme="minorHAnsi" w:hAnsiTheme="minorHAnsi" w:cstheme="minorHAnsi"/>
        </w:rPr>
        <w:t xml:space="preserve"> from the tec</w:t>
      </w:r>
      <w:r w:rsidR="00480DE0">
        <w:rPr>
          <w:rFonts w:asciiTheme="minorHAnsi" w:hAnsiTheme="minorHAnsi" w:cstheme="minorHAnsi"/>
        </w:rPr>
        <w:t>hnical analysis performed by</w:t>
      </w:r>
      <w:r w:rsidRPr="00AF3386">
        <w:rPr>
          <w:rFonts w:asciiTheme="minorHAnsi" w:hAnsiTheme="minorHAnsi" w:cstheme="minorHAnsi"/>
        </w:rPr>
        <w:t xml:space="preserve"> </w:t>
      </w:r>
      <w:r w:rsidR="00C81B62" w:rsidRPr="00AF3386">
        <w:rPr>
          <w:rFonts w:asciiTheme="minorHAnsi" w:hAnsiTheme="minorHAnsi" w:cstheme="minorHAnsi"/>
        </w:rPr>
        <w:t>Sandia National Laboratory using Microgrid Design Toolkit (MDT)</w:t>
      </w:r>
      <w:r w:rsidR="00480DE0">
        <w:rPr>
          <w:rFonts w:asciiTheme="minorHAnsi" w:hAnsiTheme="minorHAnsi" w:cstheme="minorHAnsi"/>
        </w:rPr>
        <w:t>. The optimal configuration</w:t>
      </w:r>
      <w:r w:rsidR="00BE6A0D" w:rsidRPr="00AF3386">
        <w:rPr>
          <w:rFonts w:asciiTheme="minorHAnsi" w:hAnsiTheme="minorHAnsi" w:cstheme="minorHAnsi"/>
        </w:rPr>
        <w:t xml:space="preserve"> </w:t>
      </w:r>
      <w:r w:rsidR="00C81B62" w:rsidRPr="00AF3386">
        <w:rPr>
          <w:rFonts w:asciiTheme="minorHAnsi" w:hAnsiTheme="minorHAnsi" w:cstheme="minorHAnsi"/>
        </w:rPr>
        <w:t>adds</w:t>
      </w:r>
      <w:r w:rsidR="00805C65" w:rsidRPr="00AF3386">
        <w:rPr>
          <w:rFonts w:asciiTheme="minorHAnsi" w:hAnsiTheme="minorHAnsi" w:cstheme="minorHAnsi"/>
        </w:rPr>
        <w:t xml:space="preserve"> </w:t>
      </w:r>
      <w:r w:rsidR="00C81B62" w:rsidRPr="00AF3386">
        <w:rPr>
          <w:rFonts w:asciiTheme="minorHAnsi" w:hAnsiTheme="minorHAnsi" w:cstheme="minorHAnsi"/>
        </w:rPr>
        <w:t>a 500 kW wind plant, 100 kW of solar photovoltaics (PV), 100 kW diesel and 46 kW of electric thermal stoves</w:t>
      </w:r>
      <w:r w:rsidR="00805C65" w:rsidRPr="00AF3386">
        <w:rPr>
          <w:rFonts w:asciiTheme="minorHAnsi" w:hAnsiTheme="minorHAnsi" w:cstheme="minorHAnsi"/>
        </w:rPr>
        <w:t>. The project cost $</w:t>
      </w:r>
      <w:r w:rsidR="00C81B62" w:rsidRPr="00AF3386">
        <w:rPr>
          <w:rFonts w:asciiTheme="minorHAnsi" w:hAnsiTheme="minorHAnsi" w:cstheme="minorHAnsi"/>
        </w:rPr>
        <w:t>4</w:t>
      </w:r>
      <w:r w:rsidR="00805C65" w:rsidRPr="00AF3386">
        <w:rPr>
          <w:rFonts w:asciiTheme="minorHAnsi" w:hAnsiTheme="minorHAnsi" w:cstheme="minorHAnsi"/>
        </w:rPr>
        <w:t>.</w:t>
      </w:r>
      <w:r w:rsidR="00C81B62" w:rsidRPr="00AF3386">
        <w:rPr>
          <w:rFonts w:asciiTheme="minorHAnsi" w:hAnsiTheme="minorHAnsi" w:cstheme="minorHAnsi"/>
        </w:rPr>
        <w:t>3</w:t>
      </w:r>
      <w:r w:rsidR="00BE6A0D" w:rsidRPr="00AF3386">
        <w:rPr>
          <w:rFonts w:asciiTheme="minorHAnsi" w:hAnsiTheme="minorHAnsi" w:cstheme="minorHAnsi"/>
        </w:rPr>
        <w:t xml:space="preserve"> million. The direct cost of electricity would likely decline from $0.</w:t>
      </w:r>
      <w:r w:rsidR="00C81B62" w:rsidRPr="00AF3386">
        <w:rPr>
          <w:rFonts w:asciiTheme="minorHAnsi" w:hAnsiTheme="minorHAnsi" w:cstheme="minorHAnsi"/>
        </w:rPr>
        <w:t>63</w:t>
      </w:r>
      <w:r w:rsidR="00BE6A0D" w:rsidRPr="00AF3386">
        <w:rPr>
          <w:rFonts w:asciiTheme="minorHAnsi" w:hAnsiTheme="minorHAnsi" w:cstheme="minorHAnsi"/>
        </w:rPr>
        <w:t>/kWh to $0.</w:t>
      </w:r>
      <w:r w:rsidR="00C81B62" w:rsidRPr="00AF3386">
        <w:rPr>
          <w:rFonts w:asciiTheme="minorHAnsi" w:hAnsiTheme="minorHAnsi" w:cstheme="minorHAnsi"/>
        </w:rPr>
        <w:t>55</w:t>
      </w:r>
      <w:r w:rsidR="00BE6A0D" w:rsidRPr="00AF3386">
        <w:rPr>
          <w:rFonts w:asciiTheme="minorHAnsi" w:hAnsiTheme="minorHAnsi" w:cstheme="minorHAnsi"/>
        </w:rPr>
        <w:t xml:space="preserve">/kWh. The direct costs don’t include administrative and distribution costs. </w:t>
      </w:r>
      <w:r w:rsidR="00CF14FD" w:rsidRPr="00AF3386">
        <w:rPr>
          <w:rFonts w:asciiTheme="minorHAnsi" w:hAnsiTheme="minorHAnsi" w:cstheme="minorHAnsi"/>
        </w:rPr>
        <w:t>The addition of the renewable resources</w:t>
      </w:r>
      <w:r w:rsidR="00BE6A0D" w:rsidRPr="00AF3386">
        <w:rPr>
          <w:rFonts w:asciiTheme="minorHAnsi" w:hAnsiTheme="minorHAnsi" w:cstheme="minorHAnsi"/>
        </w:rPr>
        <w:t xml:space="preserve"> reduced</w:t>
      </w:r>
      <w:r w:rsidR="00CF14FD" w:rsidRPr="00AF3386">
        <w:rPr>
          <w:rFonts w:asciiTheme="minorHAnsi" w:hAnsiTheme="minorHAnsi" w:cstheme="minorHAnsi"/>
        </w:rPr>
        <w:t xml:space="preserve"> </w:t>
      </w:r>
      <w:r w:rsidR="00C81B62" w:rsidRPr="00AF3386">
        <w:rPr>
          <w:rFonts w:asciiTheme="minorHAnsi" w:hAnsiTheme="minorHAnsi" w:cstheme="minorHAnsi"/>
        </w:rPr>
        <w:t>diesel</w:t>
      </w:r>
      <w:r w:rsidR="00BE6A0D" w:rsidRPr="00AF3386">
        <w:rPr>
          <w:rFonts w:asciiTheme="minorHAnsi" w:hAnsiTheme="minorHAnsi" w:cstheme="minorHAnsi"/>
        </w:rPr>
        <w:t xml:space="preserve"> fuel consumption by </w:t>
      </w:r>
      <w:r w:rsidR="00CF14FD" w:rsidRPr="00AF3386">
        <w:rPr>
          <w:rFonts w:asciiTheme="minorHAnsi" w:hAnsiTheme="minorHAnsi" w:cstheme="minorHAnsi"/>
        </w:rPr>
        <w:t>more than 7</w:t>
      </w:r>
      <w:r w:rsidR="00C81B62" w:rsidRPr="00AF3386">
        <w:rPr>
          <w:rFonts w:asciiTheme="minorHAnsi" w:hAnsiTheme="minorHAnsi" w:cstheme="minorHAnsi"/>
        </w:rPr>
        <w:t>4</w:t>
      </w:r>
      <w:r w:rsidR="00BE6A0D" w:rsidRPr="00AF3386">
        <w:rPr>
          <w:rFonts w:asciiTheme="minorHAnsi" w:hAnsiTheme="minorHAnsi" w:cstheme="minorHAnsi"/>
        </w:rPr>
        <w:t xml:space="preserve">% or approximately </w:t>
      </w:r>
      <w:r w:rsidR="00CF14FD" w:rsidRPr="00AF3386">
        <w:rPr>
          <w:rFonts w:asciiTheme="minorHAnsi" w:hAnsiTheme="minorHAnsi" w:cstheme="minorHAnsi"/>
        </w:rPr>
        <w:t>9</w:t>
      </w:r>
      <w:r w:rsidR="00C81B62" w:rsidRPr="00AF3386">
        <w:rPr>
          <w:rFonts w:asciiTheme="minorHAnsi" w:hAnsiTheme="minorHAnsi" w:cstheme="minorHAnsi"/>
        </w:rPr>
        <w:t>6</w:t>
      </w:r>
      <w:r w:rsidR="00BE6A0D" w:rsidRPr="00AF3386">
        <w:rPr>
          <w:rFonts w:asciiTheme="minorHAnsi" w:hAnsiTheme="minorHAnsi" w:cstheme="minorHAnsi"/>
        </w:rPr>
        <w:t>,000 gallons.</w:t>
      </w:r>
      <w:r w:rsidR="00AF3386">
        <w:rPr>
          <w:rFonts w:asciiTheme="minorHAnsi" w:hAnsiTheme="minorHAnsi" w:cstheme="minorHAnsi"/>
        </w:rPr>
        <w:t xml:space="preserve"> </w:t>
      </w:r>
      <w:r w:rsidR="00AF3386" w:rsidRPr="00AF3386">
        <w:rPr>
          <w:rFonts w:asciiTheme="minorHAnsi" w:hAnsiTheme="minorHAnsi" w:cstheme="minorHAnsi"/>
        </w:rPr>
        <w:t xml:space="preserve">The reduction in cost provides an opportunity for </w:t>
      </w:r>
      <w:r w:rsidR="00AF3386">
        <w:rPr>
          <w:rFonts w:asciiTheme="minorHAnsi" w:hAnsiTheme="minorHAnsi" w:cstheme="minorHAnsi"/>
        </w:rPr>
        <w:t>Alaska Village Electric Cooperative</w:t>
      </w:r>
      <w:r w:rsidR="00AF3386" w:rsidRPr="00AF3386">
        <w:rPr>
          <w:rFonts w:asciiTheme="minorHAnsi" w:hAnsiTheme="minorHAnsi" w:cstheme="minorHAnsi"/>
        </w:rPr>
        <w:t xml:space="preserve"> to obtain financing through grants and loans to install renewable energy and reduce </w:t>
      </w:r>
      <w:r w:rsidR="00DC5B4B">
        <w:rPr>
          <w:rFonts w:asciiTheme="minorHAnsi" w:hAnsiTheme="minorHAnsi" w:cstheme="minorHAnsi"/>
        </w:rPr>
        <w:t>diesel</w:t>
      </w:r>
      <w:r w:rsidR="00AF3386" w:rsidRPr="00AF3386">
        <w:rPr>
          <w:rFonts w:asciiTheme="minorHAnsi" w:hAnsiTheme="minorHAnsi" w:cstheme="minorHAnsi"/>
        </w:rPr>
        <w:t xml:space="preserve"> fuel consumption to the </w:t>
      </w:r>
      <w:r w:rsidR="00AF3386">
        <w:rPr>
          <w:rFonts w:asciiTheme="minorHAnsi" w:hAnsiTheme="minorHAnsi" w:cstheme="minorHAnsi"/>
        </w:rPr>
        <w:t>cooperative</w:t>
      </w:r>
      <w:r w:rsidR="00AF3386" w:rsidRPr="00AF3386">
        <w:rPr>
          <w:rFonts w:asciiTheme="minorHAnsi" w:hAnsiTheme="minorHAnsi" w:cstheme="minorHAnsi"/>
        </w:rPr>
        <w:t>.</w:t>
      </w:r>
    </w:p>
    <w:p w14:paraId="53A71C6E" w14:textId="77777777" w:rsidR="004B6656" w:rsidRDefault="004B6656" w:rsidP="00576E1F">
      <w:pPr>
        <w:pStyle w:val="BodyText"/>
        <w:rPr>
          <w:rFonts w:asciiTheme="minorHAnsi" w:hAnsiTheme="minorHAnsi" w:cstheme="minorHAnsi"/>
        </w:rPr>
      </w:pPr>
    </w:p>
    <w:p w14:paraId="405292A8" w14:textId="77777777" w:rsidR="004B6656" w:rsidRPr="00AF3386" w:rsidRDefault="004B6656" w:rsidP="00576E1F">
      <w:pPr>
        <w:pStyle w:val="BodyText"/>
        <w:rPr>
          <w:rFonts w:asciiTheme="minorHAnsi" w:hAnsiTheme="minorHAnsi" w:cstheme="minorHAnsi"/>
        </w:rPr>
        <w:sectPr w:rsidR="004B6656" w:rsidRPr="00AF3386" w:rsidSect="00482B31">
          <w:headerReference w:type="default" r:id="rId16"/>
          <w:footerReference w:type="default" r:id="rId17"/>
          <w:footnotePr>
            <w:numRestart w:val="eachPage"/>
          </w:footnotePr>
          <w:type w:val="oddPage"/>
          <w:pgSz w:w="12240" w:h="15840" w:code="1"/>
          <w:pgMar w:top="1440" w:right="1440" w:bottom="1440" w:left="1440" w:header="720" w:footer="720" w:gutter="0"/>
          <w:pgNumType w:fmt="lowerRoman" w:start="3"/>
          <w:cols w:space="720"/>
        </w:sectPr>
      </w:pPr>
    </w:p>
    <w:p w14:paraId="150E14A2" w14:textId="77777777" w:rsidR="00E12AF4" w:rsidRPr="00F87603" w:rsidRDefault="00E12AF4" w:rsidP="004023E7">
      <w:pPr>
        <w:pStyle w:val="Heading-FrontTOC"/>
        <w:rPr>
          <w:rFonts w:asciiTheme="majorHAnsi" w:hAnsiTheme="majorHAnsi" w:cstheme="majorHAnsi"/>
        </w:rPr>
      </w:pPr>
      <w:bookmarkStart w:id="3" w:name="_Toc195079664"/>
      <w:bookmarkStart w:id="4" w:name="_Toc496624717"/>
      <w:r w:rsidRPr="00F87603">
        <w:rPr>
          <w:rFonts w:asciiTheme="majorHAnsi" w:hAnsiTheme="majorHAnsi" w:cstheme="majorHAnsi"/>
        </w:rPr>
        <w:lastRenderedPageBreak/>
        <w:t>Summary</w:t>
      </w:r>
      <w:bookmarkEnd w:id="3"/>
      <w:bookmarkEnd w:id="4"/>
    </w:p>
    <w:p w14:paraId="27D6319F" w14:textId="7D529D7E" w:rsidR="00C81B62" w:rsidRPr="00C81B62" w:rsidRDefault="00C81B62" w:rsidP="00C81B62">
      <w:pPr>
        <w:spacing w:before="240"/>
        <w:rPr>
          <w:rFonts w:eastAsia="Calibri"/>
          <w:lang w:eastAsia="ja-JP"/>
        </w:rPr>
      </w:pPr>
      <w:bookmarkStart w:id="5" w:name="_Toc195079665"/>
      <w:r w:rsidRPr="00C81B62">
        <w:rPr>
          <w:rFonts w:eastAsia="Calibri"/>
          <w:lang w:eastAsia="ja-JP"/>
        </w:rPr>
        <w:t>As part of the Alaska Mini-grid Project (AMP), the National Renewable Energy Laboratory (NREL) conducted an analysis of potential renewable energy (RE) retrofit options for the Shungnak diesel mini-grid.</w:t>
      </w:r>
      <w:r w:rsidR="00BD5CD2">
        <w:rPr>
          <w:rFonts w:eastAsia="Calibri"/>
          <w:lang w:eastAsia="ja-JP"/>
        </w:rPr>
        <w:t xml:space="preserve"> </w:t>
      </w:r>
      <w:r w:rsidRPr="00C81B62">
        <w:rPr>
          <w:rFonts w:eastAsia="Calibri"/>
          <w:lang w:eastAsia="ja-JP"/>
        </w:rPr>
        <w:t xml:space="preserve">Microgrid Design Toolkit (MDT), a </w:t>
      </w:r>
      <w:r w:rsidR="00AD3E73">
        <w:rPr>
          <w:rFonts w:eastAsia="Calibri"/>
          <w:lang w:eastAsia="ja-JP"/>
        </w:rPr>
        <w:t>mini-grid analysis tool</w:t>
      </w:r>
      <w:r w:rsidRPr="00C81B62">
        <w:rPr>
          <w:rFonts w:eastAsia="Calibri"/>
          <w:lang w:eastAsia="ja-JP"/>
        </w:rPr>
        <w:t xml:space="preserve"> developed by the </w:t>
      </w:r>
      <w:r w:rsidR="005C6904">
        <w:rPr>
          <w:rFonts w:eastAsia="Calibri"/>
          <w:lang w:eastAsia="ja-JP"/>
        </w:rPr>
        <w:t>Sandia National</w:t>
      </w:r>
      <w:r w:rsidRPr="00C81B62">
        <w:rPr>
          <w:rFonts w:eastAsia="Calibri"/>
          <w:lang w:eastAsia="ja-JP"/>
        </w:rPr>
        <w:t xml:space="preserve"> Laboratory</w:t>
      </w:r>
      <w:r w:rsidR="005C6904">
        <w:rPr>
          <w:rFonts w:eastAsia="Calibri"/>
          <w:lang w:eastAsia="ja-JP"/>
        </w:rPr>
        <w:t>,</w:t>
      </w:r>
      <w:r w:rsidRPr="00C81B62">
        <w:rPr>
          <w:rFonts w:eastAsia="Calibri"/>
          <w:lang w:eastAsia="ja-JP"/>
        </w:rPr>
        <w:t xml:space="preserve"> was used to evaluate options that maximized the net present value to the village and its utility.</w:t>
      </w:r>
      <w:r w:rsidR="00BD5CD2">
        <w:rPr>
          <w:rFonts w:eastAsia="Calibri"/>
          <w:lang w:eastAsia="ja-JP"/>
        </w:rPr>
        <w:t xml:space="preserve"> </w:t>
      </w:r>
      <w:r w:rsidRPr="00C81B62">
        <w:rPr>
          <w:rFonts w:eastAsia="Calibri"/>
          <w:lang w:eastAsia="ja-JP"/>
        </w:rPr>
        <w:t>Those options were compared to the net present value of current diesel generation and the thermal load of the village.</w:t>
      </w:r>
      <w:r w:rsidR="00BD5CD2">
        <w:rPr>
          <w:rFonts w:eastAsia="Calibri"/>
          <w:lang w:eastAsia="ja-JP"/>
        </w:rPr>
        <w:t xml:space="preserve"> </w:t>
      </w:r>
      <w:r w:rsidRPr="00C81B62">
        <w:rPr>
          <w:rFonts w:eastAsia="Calibri"/>
          <w:lang w:eastAsia="ja-JP"/>
        </w:rPr>
        <w:t xml:space="preserve">The options included combinations of solar, wind, hydro, batteries, and included electric thermal stoves to use renewable electricity that would otherwise be spilled. </w:t>
      </w:r>
      <w:r w:rsidR="00DC5B4B">
        <w:t xml:space="preserve">The assumed life of the project was chosen as 20 years as this was the lifetime of the most expensive asset, the wind turbines. </w:t>
      </w:r>
      <w:r w:rsidR="00A32892">
        <w:rPr>
          <w:rFonts w:eastAsia="Calibri"/>
          <w:lang w:eastAsia="ja-JP"/>
        </w:rPr>
        <w:t>The highest net present value alternative became the basis for the business case.</w:t>
      </w:r>
    </w:p>
    <w:p w14:paraId="604AA574" w14:textId="3E08E919" w:rsidR="00C81B62" w:rsidRPr="00C81B62" w:rsidRDefault="00C81B62" w:rsidP="00C81B62">
      <w:pPr>
        <w:tabs>
          <w:tab w:val="clear" w:pos="360"/>
          <w:tab w:val="clear" w:pos="720"/>
          <w:tab w:val="clear" w:pos="1080"/>
        </w:tabs>
        <w:spacing w:before="240"/>
        <w:rPr>
          <w:rFonts w:eastAsia="Calibri"/>
          <w:lang w:eastAsia="ja-JP"/>
        </w:rPr>
      </w:pPr>
      <w:r w:rsidRPr="00C81B62">
        <w:rPr>
          <w:rFonts w:eastAsia="Calibri"/>
          <w:lang w:eastAsia="ja-JP"/>
        </w:rPr>
        <w:t>The highest net present value option added a 500 kW wind plant, 100 kW of solar photovoltaics (PV) and 46 kW of electric thermal stoves.</w:t>
      </w:r>
      <w:r w:rsidR="00BD5CD2">
        <w:rPr>
          <w:rFonts w:eastAsia="Calibri"/>
          <w:lang w:eastAsia="ja-JP"/>
        </w:rPr>
        <w:t xml:space="preserve"> </w:t>
      </w:r>
      <w:r w:rsidR="00083906">
        <w:rPr>
          <w:rFonts w:eastAsia="Calibri"/>
          <w:lang w:eastAsia="ja-JP"/>
        </w:rPr>
        <w:t>The</w:t>
      </w:r>
      <w:r w:rsidRPr="00C81B62">
        <w:rPr>
          <w:rFonts w:eastAsia="Calibri"/>
          <w:lang w:eastAsia="ja-JP"/>
        </w:rPr>
        <w:t xml:space="preserve"> direct cost of electricity would be reduced from $0.632/kWh to $0.548/kWh</w:t>
      </w:r>
      <w:r w:rsidRPr="00C81B62">
        <w:rPr>
          <w:rFonts w:eastAsia="Calibri"/>
          <w:vertAlign w:val="superscript"/>
          <w:lang w:eastAsia="ja-JP"/>
        </w:rPr>
        <w:footnoteReference w:id="1"/>
      </w:r>
      <w:r w:rsidRPr="00C81B62">
        <w:rPr>
          <w:rFonts w:eastAsia="Calibri"/>
          <w:lang w:eastAsia="ja-JP"/>
        </w:rPr>
        <w:t xml:space="preserve"> if provided by Alaska Village Electric Cooperative, the utility company</w:t>
      </w:r>
      <w:r w:rsidR="00083906">
        <w:rPr>
          <w:rFonts w:eastAsia="Calibri"/>
          <w:lang w:eastAsia="ja-JP"/>
        </w:rPr>
        <w:t>, rather than an energy services company (ESCO)</w:t>
      </w:r>
      <w:r w:rsidRPr="00C81B62">
        <w:rPr>
          <w:rFonts w:eastAsia="Calibri"/>
          <w:lang w:eastAsia="ja-JP"/>
        </w:rPr>
        <w:t>. This assumes that the residents agree to have the electric thermal stoves installed and pay approximately $0.006 /kWh hour for their usage.</w:t>
      </w:r>
      <w:r w:rsidR="00BD5CD2">
        <w:rPr>
          <w:rFonts w:eastAsia="Calibri"/>
          <w:lang w:eastAsia="ja-JP"/>
        </w:rPr>
        <w:t xml:space="preserve"> </w:t>
      </w:r>
      <w:r w:rsidRPr="00C81B62">
        <w:rPr>
          <w:rFonts w:eastAsia="Calibri"/>
          <w:lang w:eastAsia="ja-JP"/>
        </w:rPr>
        <w:t>If residents do not agree to the installation of electric thermal stoves (which is unlikely), the direct cost of the electricity would rise to $0.55</w:t>
      </w:r>
      <w:r w:rsidR="00891FEA">
        <w:rPr>
          <w:rFonts w:eastAsia="Calibri"/>
          <w:lang w:eastAsia="ja-JP"/>
        </w:rPr>
        <w:t>4</w:t>
      </w:r>
      <w:r w:rsidRPr="00C81B62">
        <w:rPr>
          <w:rFonts w:eastAsia="Calibri"/>
          <w:lang w:eastAsia="ja-JP"/>
        </w:rPr>
        <w:t>/kWh. The installation of wind plant and solar PV reduces the amount of diesel fuel consumption from more than 129 thousand gallons per year to 33 thousand gallons, reducing diesel fuel consumption by 96 thousand gallons for Shungnak or a 74%.</w:t>
      </w:r>
      <w:r w:rsidR="00BD5CD2">
        <w:rPr>
          <w:rFonts w:eastAsia="Calibri"/>
          <w:lang w:eastAsia="ja-JP"/>
        </w:rPr>
        <w:t xml:space="preserve"> </w:t>
      </w:r>
      <w:r w:rsidRPr="00C81B62">
        <w:rPr>
          <w:rFonts w:eastAsia="Calibri"/>
          <w:lang w:eastAsia="ja-JP"/>
        </w:rPr>
        <w:t>If residents don’t agree to the installation of the electric thermal stoves, approximately 0.414 million kWh of renewable energy would be unutilized.</w:t>
      </w:r>
      <w:r w:rsidR="00BD5CD2">
        <w:rPr>
          <w:rFonts w:eastAsia="Calibri"/>
          <w:lang w:eastAsia="ja-JP"/>
        </w:rPr>
        <w:t xml:space="preserve"> </w:t>
      </w:r>
      <w:r w:rsidRPr="00C81B62">
        <w:rPr>
          <w:rFonts w:eastAsia="Calibri"/>
          <w:lang w:eastAsia="ja-JP"/>
        </w:rPr>
        <w:t>Residents could afford to pay up to $0.25/kWh for the electricity to power the electric thermal stoves and still break</w:t>
      </w:r>
      <w:r w:rsidR="00F61E59">
        <w:rPr>
          <w:rFonts w:eastAsia="Calibri"/>
          <w:lang w:eastAsia="ja-JP"/>
        </w:rPr>
        <w:t xml:space="preserve"> </w:t>
      </w:r>
      <w:r w:rsidRPr="00C81B62">
        <w:rPr>
          <w:rFonts w:eastAsia="Calibri"/>
          <w:lang w:eastAsia="ja-JP"/>
        </w:rPr>
        <w:t xml:space="preserve">even on the cost of residential fuel oil. </w:t>
      </w:r>
    </w:p>
    <w:p w14:paraId="46226AE9" w14:textId="7B600C15" w:rsidR="00C81B62" w:rsidRPr="00C81B62" w:rsidRDefault="005157CF" w:rsidP="00C81B62">
      <w:pPr>
        <w:keepNext/>
        <w:tabs>
          <w:tab w:val="clear" w:pos="360"/>
          <w:tab w:val="clear" w:pos="720"/>
          <w:tab w:val="clear" w:pos="1080"/>
        </w:tabs>
        <w:spacing w:before="240"/>
        <w:rPr>
          <w:rFonts w:eastAsia="Calibri"/>
          <w:lang w:eastAsia="ja-JP"/>
        </w:rPr>
      </w:pPr>
      <w:r>
        <w:t>The best case presented above was one of t</w:t>
      </w:r>
      <w:r w:rsidR="00C81B62" w:rsidRPr="00C81B62">
        <w:rPr>
          <w:rFonts w:eastAsia="Calibri"/>
          <w:lang w:eastAsia="ja-JP"/>
        </w:rPr>
        <w:t xml:space="preserve">hirty-seven mini-grid configurations </w:t>
      </w:r>
      <w:r>
        <w:rPr>
          <w:rFonts w:eastAsia="Calibri"/>
          <w:lang w:eastAsia="ja-JP"/>
        </w:rPr>
        <w:t xml:space="preserve">that </w:t>
      </w:r>
      <w:r w:rsidR="00C81B62" w:rsidRPr="00C81B62">
        <w:rPr>
          <w:rFonts w:eastAsia="Calibri"/>
          <w:lang w:eastAsia="ja-JP"/>
        </w:rPr>
        <w:t>were evaluated including the no-change base case. The options evaluated combinations of wind, solar, hydro and batteries with and without electric thermal stoves.</w:t>
      </w:r>
      <w:r w:rsidR="00BD5CD2">
        <w:rPr>
          <w:rFonts w:eastAsia="Calibri"/>
          <w:lang w:eastAsia="ja-JP"/>
        </w:rPr>
        <w:t xml:space="preserve"> </w:t>
      </w:r>
      <w:r w:rsidR="00C81B62" w:rsidRPr="00C81B62">
        <w:rPr>
          <w:rFonts w:eastAsia="Calibri"/>
          <w:lang w:eastAsia="ja-JP"/>
        </w:rPr>
        <w:t xml:space="preserve">Electric thermal stoves are used to convert any excess renewable energy to heat when electric demand otherwise would not consume all the renewable generation. </w:t>
      </w:r>
      <w:r w:rsidR="00F61E59">
        <w:t xml:space="preserve">Given the uncertain availability of excess wind energy, these stoves are expected to act as a low-cost supplemental heating source to the existing oil- or biomass-fired heating. </w:t>
      </w:r>
      <w:r w:rsidR="00C81B62" w:rsidRPr="00C81B62">
        <w:rPr>
          <w:rFonts w:eastAsia="Calibri"/>
          <w:lang w:eastAsia="ja-JP"/>
        </w:rPr>
        <w:t>Solar and wind generation was evaluated from 100 to 500 kW.</w:t>
      </w:r>
      <w:r w:rsidR="00BD5CD2">
        <w:rPr>
          <w:rFonts w:eastAsia="Calibri"/>
          <w:lang w:eastAsia="ja-JP"/>
        </w:rPr>
        <w:t xml:space="preserve"> </w:t>
      </w:r>
      <w:r w:rsidR="00C81B62" w:rsidRPr="00C81B62">
        <w:rPr>
          <w:rFonts w:eastAsia="Calibri"/>
          <w:lang w:eastAsia="ja-JP"/>
        </w:rPr>
        <w:t>Batteries were optimized based on the total system production and in some cases reached 100/100 kW/kWh.</w:t>
      </w:r>
      <w:r w:rsidR="00BD5CD2">
        <w:rPr>
          <w:rFonts w:eastAsia="Calibri"/>
          <w:lang w:eastAsia="ja-JP"/>
        </w:rPr>
        <w:t xml:space="preserve"> </w:t>
      </w:r>
      <w:r w:rsidR="00C81B62" w:rsidRPr="00C81B62">
        <w:rPr>
          <w:rFonts w:eastAsia="Calibri"/>
          <w:lang w:eastAsia="ja-JP"/>
        </w:rPr>
        <w:t xml:space="preserve">The analysis included hydro but hydro was </w:t>
      </w:r>
      <w:r w:rsidR="00FA0C7F">
        <w:rPr>
          <w:rFonts w:eastAsia="Calibri"/>
          <w:lang w:eastAsia="ja-JP"/>
        </w:rPr>
        <w:t>never included in the least-cost set of mini-grid component</w:t>
      </w:r>
      <w:r w:rsidR="00797164">
        <w:rPr>
          <w:rFonts w:eastAsia="Calibri"/>
          <w:lang w:eastAsia="ja-JP"/>
        </w:rPr>
        <w:t>s because it was not cost effective.</w:t>
      </w:r>
      <w:r w:rsidR="001214E0">
        <w:rPr>
          <w:rStyle w:val="FootnoteReference"/>
          <w:rFonts w:eastAsia="Calibri"/>
          <w:lang w:eastAsia="ja-JP"/>
        </w:rPr>
        <w:footnoteReference w:id="2"/>
      </w:r>
      <w:r w:rsidR="00FA0C7F">
        <w:rPr>
          <w:rFonts w:eastAsia="Calibri"/>
          <w:lang w:eastAsia="ja-JP"/>
        </w:rPr>
        <w:t xml:space="preserve"> </w:t>
      </w:r>
    </w:p>
    <w:p w14:paraId="24769696" w14:textId="1D9E12BA" w:rsidR="00C81B62" w:rsidRPr="00C81B62" w:rsidRDefault="00C81B62" w:rsidP="00C81B62">
      <w:pPr>
        <w:keepNext/>
        <w:tabs>
          <w:tab w:val="clear" w:pos="360"/>
          <w:tab w:val="clear" w:pos="720"/>
          <w:tab w:val="clear" w:pos="1080"/>
        </w:tabs>
        <w:spacing w:before="240"/>
        <w:rPr>
          <w:rFonts w:eastAsia="Calibri"/>
          <w:lang w:eastAsia="ja-JP"/>
        </w:rPr>
      </w:pPr>
      <w:r w:rsidRPr="00C81B62">
        <w:rPr>
          <w:rFonts w:eastAsia="Calibri"/>
          <w:lang w:eastAsia="ja-JP"/>
        </w:rPr>
        <w:t>The diesel generation capacity at the village is currently 1298 kW provided by four diesel generators: a 202, 314, 365 and 397 kW.</w:t>
      </w:r>
      <w:r w:rsidR="00BD5CD2">
        <w:rPr>
          <w:rFonts w:eastAsia="Calibri"/>
          <w:lang w:eastAsia="ja-JP"/>
        </w:rPr>
        <w:t xml:space="preserve"> </w:t>
      </w:r>
      <w:r w:rsidRPr="00C81B62">
        <w:rPr>
          <w:rFonts w:eastAsia="Calibri"/>
          <w:lang w:eastAsia="ja-JP"/>
        </w:rPr>
        <w:t>Each alternative generation option adds more renewable resources to the baseline, reducing the amount of diesel fuel and heating oil required to meet electricity and heating needs (respectively) up to the capacity of the village electricity demand.</w:t>
      </w:r>
      <w:r w:rsidR="00BD5CD2">
        <w:rPr>
          <w:rFonts w:eastAsia="Calibri"/>
          <w:lang w:eastAsia="ja-JP"/>
        </w:rPr>
        <w:t xml:space="preserve"> </w:t>
      </w:r>
    </w:p>
    <w:p w14:paraId="4D047B44" w14:textId="59CE903C" w:rsidR="00C81B62" w:rsidRPr="00C81B62" w:rsidRDefault="00C81B62" w:rsidP="00C81B62">
      <w:pPr>
        <w:tabs>
          <w:tab w:val="clear" w:pos="360"/>
          <w:tab w:val="clear" w:pos="720"/>
          <w:tab w:val="clear" w:pos="1080"/>
        </w:tabs>
        <w:spacing w:before="240"/>
        <w:rPr>
          <w:rFonts w:eastAsia="Calibri"/>
          <w:lang w:eastAsia="ja-JP"/>
        </w:rPr>
      </w:pPr>
      <w:r w:rsidRPr="00C81B62">
        <w:rPr>
          <w:rFonts w:eastAsia="Calibri"/>
          <w:lang w:eastAsia="ja-JP"/>
        </w:rPr>
        <w:t>The selected 500 kW wind system with solar</w:t>
      </w:r>
      <w:r w:rsidR="00AF3386">
        <w:rPr>
          <w:rFonts w:eastAsia="Calibri"/>
          <w:lang w:eastAsia="ja-JP"/>
        </w:rPr>
        <w:t xml:space="preserve"> PV</w:t>
      </w:r>
      <w:r w:rsidRPr="00C81B62">
        <w:rPr>
          <w:rFonts w:eastAsia="Calibri"/>
          <w:lang w:eastAsia="ja-JP"/>
        </w:rPr>
        <w:t xml:space="preserve">, converters and electric thermal stoves costs $4.3 million installed. The cooperative utility is assumed to require a 4% rate of return on their investment, their weighted average cost of capital plus risk premium whether the capital comes from equity, grants and/or </w:t>
      </w:r>
      <w:r w:rsidRPr="00C81B62">
        <w:rPr>
          <w:rFonts w:eastAsia="Calibri"/>
          <w:lang w:eastAsia="ja-JP"/>
        </w:rPr>
        <w:lastRenderedPageBreak/>
        <w:t xml:space="preserve">loans. Municipal and cooperative entities need to recover the cost of debt which could be the municipal bond market, bank for cooperatives, grants, or bank loans. </w:t>
      </w:r>
    </w:p>
    <w:p w14:paraId="6BBA0ADF" w14:textId="3411BE42" w:rsidR="00C81B62" w:rsidRPr="00C81B62" w:rsidRDefault="00C81B62" w:rsidP="00C81B62">
      <w:pPr>
        <w:tabs>
          <w:tab w:val="clear" w:pos="360"/>
          <w:tab w:val="clear" w:pos="720"/>
          <w:tab w:val="clear" w:pos="1080"/>
        </w:tabs>
        <w:spacing w:before="240"/>
        <w:rPr>
          <w:rFonts w:eastAsia="Calibri"/>
          <w:lang w:eastAsia="ja-JP"/>
        </w:rPr>
      </w:pPr>
      <w:r w:rsidRPr="00C81B62">
        <w:rPr>
          <w:rFonts w:eastAsia="Calibri"/>
          <w:lang w:eastAsia="ja-JP"/>
        </w:rPr>
        <w:t xml:space="preserve">The primary risk associated with adding renewable energy to the village is failure to repay any loans incurred to finance the mini-grid upgrade. Based on a review of the options available, the project will need to find a grant for a portion of the capital costs and debt for the remaining costs as it appears that grants no longer fully fund projects. In addition, regardless of how the village chooses to fund the project (as part of the Alaska Village Electric Cooperative (AVEC), a limited liability company or </w:t>
      </w:r>
      <w:r w:rsidR="00891FEA">
        <w:rPr>
          <w:rFonts w:eastAsia="Calibri"/>
          <w:lang w:eastAsia="ja-JP"/>
        </w:rPr>
        <w:t xml:space="preserve">a </w:t>
      </w:r>
      <w:r w:rsidRPr="00C81B62">
        <w:rPr>
          <w:rFonts w:eastAsia="Calibri"/>
          <w:lang w:eastAsia="ja-JP"/>
        </w:rPr>
        <w:t>contract with an energy services company (ESCO)), the electricity price risk falls primarily upon the customers of the cooperative. They may face increased electricity rates should an unexpectedly large portion of the electricity be provided by the diesel generators instead of under</w:t>
      </w:r>
      <w:r w:rsidR="00891FEA">
        <w:rPr>
          <w:rFonts w:eastAsia="Calibri"/>
          <w:lang w:eastAsia="ja-JP"/>
        </w:rPr>
        <w:t xml:space="preserve">performing renewable generation. The increased diesel generation </w:t>
      </w:r>
      <w:r w:rsidR="00E23F85">
        <w:rPr>
          <w:rFonts w:eastAsia="Calibri"/>
          <w:lang w:eastAsia="ja-JP"/>
        </w:rPr>
        <w:t xml:space="preserve">resulting from underperforming renewable generation </w:t>
      </w:r>
      <w:r w:rsidR="00891FEA">
        <w:rPr>
          <w:rFonts w:eastAsia="Calibri"/>
          <w:lang w:eastAsia="ja-JP"/>
        </w:rPr>
        <w:t>will</w:t>
      </w:r>
      <w:r w:rsidRPr="00C81B62">
        <w:rPr>
          <w:rFonts w:eastAsia="Calibri"/>
          <w:lang w:eastAsia="ja-JP"/>
        </w:rPr>
        <w:t xml:space="preserve"> result in a higher variable cost of electricity. The PCE subsidy may ameliorate the risk as long as</w:t>
      </w:r>
      <w:r w:rsidR="00891FEA">
        <w:rPr>
          <w:rFonts w:eastAsia="Calibri"/>
          <w:lang w:eastAsia="ja-JP"/>
        </w:rPr>
        <w:t xml:space="preserve"> residential</w:t>
      </w:r>
      <w:r w:rsidRPr="00C81B62">
        <w:rPr>
          <w:rFonts w:eastAsia="Calibri"/>
          <w:lang w:eastAsia="ja-JP"/>
        </w:rPr>
        <w:t xml:space="preserve"> consumption doesn’t rise above 500 kWh per month for each residential customer.</w:t>
      </w:r>
    </w:p>
    <w:p w14:paraId="3D252790" w14:textId="2EBC7372" w:rsidR="00C81B62" w:rsidRDefault="00C81B62" w:rsidP="00C81B62">
      <w:pPr>
        <w:spacing w:before="240"/>
        <w:rPr>
          <w:rFonts w:eastAsia="Calibri"/>
          <w:sz w:val="24"/>
          <w:szCs w:val="24"/>
          <w:lang w:eastAsia="ja-JP"/>
        </w:rPr>
      </w:pPr>
      <w:r w:rsidRPr="00C81B62">
        <w:rPr>
          <w:rFonts w:eastAsia="Calibri"/>
          <w:lang w:eastAsia="ja-JP"/>
        </w:rPr>
        <w:t>An ESCO reflects returns for a for-profit entity and bracket</w:t>
      </w:r>
      <w:r w:rsidR="00891FEA">
        <w:rPr>
          <w:rFonts w:eastAsia="Calibri"/>
          <w:lang w:eastAsia="ja-JP"/>
        </w:rPr>
        <w:t>s</w:t>
      </w:r>
      <w:r w:rsidRPr="00C81B62">
        <w:rPr>
          <w:rFonts w:eastAsia="Calibri"/>
          <w:lang w:eastAsia="ja-JP"/>
        </w:rPr>
        <w:t xml:space="preserve"> the upper end of the return required. ESCO operators would require at le</w:t>
      </w:r>
      <w:r w:rsidR="00891FEA">
        <w:rPr>
          <w:rFonts w:eastAsia="Calibri"/>
          <w:lang w:eastAsia="ja-JP"/>
        </w:rPr>
        <w:t xml:space="preserve">ast a 10% cost of capital. </w:t>
      </w:r>
      <w:r w:rsidR="00E23F85">
        <w:rPr>
          <w:rFonts w:eastAsia="Calibri"/>
          <w:lang w:eastAsia="ja-JP"/>
        </w:rPr>
        <w:t xml:space="preserve">An </w:t>
      </w:r>
      <w:r w:rsidR="00891FEA">
        <w:rPr>
          <w:rFonts w:eastAsia="Calibri"/>
          <w:lang w:eastAsia="ja-JP"/>
        </w:rPr>
        <w:t>ESCO</w:t>
      </w:r>
      <w:r w:rsidRPr="00C81B62">
        <w:rPr>
          <w:rFonts w:eastAsia="Calibri"/>
          <w:lang w:eastAsia="ja-JP"/>
        </w:rPr>
        <w:t xml:space="preserve"> would provide electricity as service to the cooperative rather than the cooperative managing the risk of the renewable generation. The optimal facility and capital requirements might be large enough to attract an outside entity.</w:t>
      </w:r>
      <w:r w:rsidR="00BD5CD2">
        <w:rPr>
          <w:rFonts w:eastAsia="Calibri"/>
          <w:lang w:eastAsia="ja-JP"/>
        </w:rPr>
        <w:t xml:space="preserve"> </w:t>
      </w:r>
      <w:r w:rsidRPr="00C81B62">
        <w:rPr>
          <w:rFonts w:eastAsia="Calibri"/>
          <w:lang w:eastAsia="ja-JP"/>
        </w:rPr>
        <w:t>The price of electricity, given the 10% return hurdle rate by an ESCO, would require an approximate $0.68-$0.70/kWh, significantly above that of the local utility and above the direct costs of diesel generation at $0.63/kWh.</w:t>
      </w:r>
      <w:r w:rsidR="00BD5CD2">
        <w:rPr>
          <w:rFonts w:eastAsia="Calibri"/>
          <w:lang w:eastAsia="ja-JP"/>
        </w:rPr>
        <w:t xml:space="preserve"> </w:t>
      </w:r>
      <w:r w:rsidRPr="00C81B62">
        <w:rPr>
          <w:rFonts w:eastAsia="Calibri"/>
          <w:lang w:eastAsia="ja-JP"/>
        </w:rPr>
        <w:t>In addition, there is some risk that the production tax credit (PTC) would expire by the time construction begins. The PTC for wind expires December 31, 2019.</w:t>
      </w:r>
      <w:r w:rsidR="00BD5CD2">
        <w:rPr>
          <w:rFonts w:eastAsia="Calibri"/>
          <w:lang w:eastAsia="ja-JP"/>
        </w:rPr>
        <w:t xml:space="preserve"> </w:t>
      </w:r>
      <w:r w:rsidRPr="00C81B62">
        <w:rPr>
          <w:rFonts w:eastAsia="Calibri"/>
          <w:lang w:eastAsia="ja-JP"/>
        </w:rPr>
        <w:t>In addition, the PTC provides only 40% of the original $0.023/kWh, or $0.009 for 10 years for projects qualifying in 2019.</w:t>
      </w:r>
      <w:r w:rsidRPr="00C81B62">
        <w:rPr>
          <w:rFonts w:eastAsia="Calibri"/>
          <w:vertAlign w:val="superscript"/>
          <w:lang w:eastAsia="ja-JP"/>
        </w:rPr>
        <w:footnoteReference w:id="3"/>
      </w:r>
    </w:p>
    <w:p w14:paraId="1C8BB715" w14:textId="77777777" w:rsidR="00C81B62" w:rsidRDefault="00C81B62">
      <w:pPr>
        <w:tabs>
          <w:tab w:val="clear" w:pos="360"/>
          <w:tab w:val="clear" w:pos="720"/>
          <w:tab w:val="clear" w:pos="1080"/>
        </w:tabs>
        <w:rPr>
          <w:rFonts w:eastAsia="Calibri"/>
          <w:sz w:val="24"/>
          <w:szCs w:val="24"/>
          <w:lang w:eastAsia="ja-JP"/>
        </w:rPr>
      </w:pPr>
      <w:r>
        <w:rPr>
          <w:rFonts w:eastAsia="Calibri"/>
          <w:sz w:val="24"/>
          <w:szCs w:val="24"/>
          <w:lang w:eastAsia="ja-JP"/>
        </w:rPr>
        <w:br w:type="page"/>
      </w:r>
    </w:p>
    <w:p w14:paraId="229FFFC7" w14:textId="40E2EE9A" w:rsidR="00E12AF4" w:rsidRPr="00643404" w:rsidRDefault="00E12AF4" w:rsidP="00643404">
      <w:pPr>
        <w:pStyle w:val="Heading-FrontTOC"/>
      </w:pPr>
      <w:bookmarkStart w:id="6" w:name="_Toc496624718"/>
      <w:r w:rsidRPr="00F87603">
        <w:lastRenderedPageBreak/>
        <w:t>Acknowledgments</w:t>
      </w:r>
      <w:bookmarkEnd w:id="5"/>
      <w:bookmarkEnd w:id="6"/>
    </w:p>
    <w:p w14:paraId="16476B54" w14:textId="4A90FDD4" w:rsidR="00643404" w:rsidRPr="00F87603" w:rsidRDefault="006F3DCB" w:rsidP="00643404">
      <w:pPr>
        <w:pStyle w:val="BodyText"/>
        <w:sectPr w:rsidR="00643404" w:rsidRPr="00F87603" w:rsidSect="00482B31">
          <w:footnotePr>
            <w:numRestart w:val="eachPage"/>
          </w:footnotePr>
          <w:type w:val="oddPage"/>
          <w:pgSz w:w="12240" w:h="15840" w:code="1"/>
          <w:pgMar w:top="1440" w:right="1440" w:bottom="1440" w:left="1440" w:header="720" w:footer="720" w:gutter="0"/>
          <w:pgNumType w:fmt="lowerRoman" w:chapSep="period"/>
          <w:cols w:space="720"/>
        </w:sectPr>
      </w:pPr>
      <w:r>
        <w:t>The authors</w:t>
      </w:r>
      <w:r w:rsidR="00643404">
        <w:t xml:space="preserve"> would like to thank Virginia</w:t>
      </w:r>
      <w:r w:rsidR="00783C9F">
        <w:t xml:space="preserve"> Fay of University of Alaska</w:t>
      </w:r>
      <w:r w:rsidR="004E305E">
        <w:t xml:space="preserve"> Anchorage</w:t>
      </w:r>
      <w:r w:rsidR="00783C9F">
        <w:t xml:space="preserve">’s </w:t>
      </w:r>
      <w:r w:rsidR="00643404">
        <w:t>Institute of Social</w:t>
      </w:r>
      <w:r>
        <w:t xml:space="preserve"> and Economic Research for her </w:t>
      </w:r>
      <w:r w:rsidR="00643404">
        <w:t>guidance and feedback in understanding the unique challe</w:t>
      </w:r>
      <w:r>
        <w:t xml:space="preserve">nges of </w:t>
      </w:r>
      <w:r w:rsidR="00643404">
        <w:t>rural communities in Alaska.</w:t>
      </w:r>
    </w:p>
    <w:p w14:paraId="6F2439DA" w14:textId="77777777" w:rsidR="0087276F" w:rsidRPr="00F87603" w:rsidRDefault="0087276F" w:rsidP="0087276F">
      <w:pPr>
        <w:pStyle w:val="BodyText"/>
        <w:rPr>
          <w:rFonts w:asciiTheme="majorHAnsi" w:hAnsiTheme="majorHAnsi" w:cstheme="majorHAnsi"/>
        </w:rPr>
        <w:sectPr w:rsidR="0087276F" w:rsidRPr="00F87603" w:rsidSect="00482B31">
          <w:type w:val="oddPage"/>
          <w:pgSz w:w="12240" w:h="15840" w:code="1"/>
          <w:pgMar w:top="1440" w:right="1440" w:bottom="1440" w:left="1440" w:header="720" w:footer="720" w:gutter="0"/>
          <w:pgNumType w:fmt="lowerRoman" w:chapSep="period"/>
          <w:cols w:space="720"/>
        </w:sectPr>
      </w:pPr>
    </w:p>
    <w:p w14:paraId="5BCC41C0" w14:textId="77777777" w:rsidR="00E12AF4" w:rsidRPr="00F87603" w:rsidRDefault="00E12AF4" w:rsidP="004023E7">
      <w:pPr>
        <w:pStyle w:val="Heading-FrontTOC"/>
        <w:rPr>
          <w:rFonts w:asciiTheme="majorHAnsi" w:hAnsiTheme="majorHAnsi" w:cstheme="majorHAnsi"/>
        </w:rPr>
      </w:pPr>
      <w:bookmarkStart w:id="7" w:name="_Toc195079666"/>
      <w:bookmarkStart w:id="8" w:name="_Toc496624719"/>
      <w:r w:rsidRPr="00F87603">
        <w:rPr>
          <w:rFonts w:asciiTheme="majorHAnsi" w:hAnsiTheme="majorHAnsi" w:cstheme="majorHAnsi"/>
        </w:rPr>
        <w:lastRenderedPageBreak/>
        <w:t>Acronyms and Abbreviations</w:t>
      </w:r>
      <w:bookmarkEnd w:id="7"/>
      <w:bookmarkEnd w:id="8"/>
    </w:p>
    <w:p w14:paraId="46034FC5" w14:textId="77777777" w:rsidR="00E12AF4" w:rsidRPr="00F87603" w:rsidRDefault="00E12AF4" w:rsidP="00576E1F">
      <w:pPr>
        <w:pStyle w:val="Acronyms"/>
        <w:rPr>
          <w:rFonts w:asciiTheme="majorHAnsi" w:hAnsiTheme="majorHAnsi" w:cstheme="majorHAnsi"/>
        </w:rPr>
      </w:pPr>
    </w:p>
    <w:p w14:paraId="1696CAC5" w14:textId="6D7672AA" w:rsidR="00BD5CD2" w:rsidRDefault="00BD5CD2" w:rsidP="00576E1F">
      <w:pPr>
        <w:pStyle w:val="Acronyms"/>
        <w:rPr>
          <w:rFonts w:asciiTheme="majorHAnsi" w:hAnsiTheme="majorHAnsi" w:cstheme="majorHAnsi"/>
        </w:rPr>
      </w:pPr>
      <w:r>
        <w:rPr>
          <w:rFonts w:asciiTheme="majorHAnsi" w:hAnsiTheme="majorHAnsi" w:cstheme="majorHAnsi"/>
        </w:rPr>
        <w:t>AMP – Alaska Mini-grid Project</w:t>
      </w:r>
    </w:p>
    <w:p w14:paraId="33A00542" w14:textId="77777777" w:rsidR="00277850" w:rsidRDefault="00277850" w:rsidP="00576E1F">
      <w:pPr>
        <w:pStyle w:val="Acronyms"/>
        <w:rPr>
          <w:rFonts w:asciiTheme="majorHAnsi" w:hAnsiTheme="majorHAnsi" w:cstheme="majorHAnsi"/>
        </w:rPr>
      </w:pPr>
      <w:r>
        <w:rPr>
          <w:rFonts w:asciiTheme="majorHAnsi" w:hAnsiTheme="majorHAnsi" w:cstheme="majorHAnsi"/>
        </w:rPr>
        <w:t xml:space="preserve">CREBS – </w:t>
      </w:r>
      <w:r w:rsidRPr="00277850">
        <w:rPr>
          <w:rFonts w:asciiTheme="majorHAnsi" w:hAnsiTheme="majorHAnsi" w:cstheme="majorHAnsi"/>
        </w:rPr>
        <w:t>Clean Renewable Energy Bonds</w:t>
      </w:r>
      <w:r>
        <w:rPr>
          <w:rFonts w:asciiTheme="majorHAnsi" w:hAnsiTheme="majorHAnsi" w:cstheme="majorHAnsi"/>
        </w:rPr>
        <w:t xml:space="preserve"> </w:t>
      </w:r>
    </w:p>
    <w:p w14:paraId="12516B93" w14:textId="1CF67A5D" w:rsidR="003E7189" w:rsidRDefault="003E7189" w:rsidP="00576E1F">
      <w:pPr>
        <w:pStyle w:val="Acronyms"/>
        <w:rPr>
          <w:rFonts w:asciiTheme="majorHAnsi" w:hAnsiTheme="majorHAnsi" w:cstheme="majorHAnsi"/>
        </w:rPr>
      </w:pPr>
      <w:r>
        <w:rPr>
          <w:rFonts w:asciiTheme="majorHAnsi" w:hAnsiTheme="majorHAnsi" w:cstheme="majorHAnsi"/>
        </w:rPr>
        <w:t xml:space="preserve">Elec – Electricity </w:t>
      </w:r>
    </w:p>
    <w:p w14:paraId="74EA3C26" w14:textId="1F08E715" w:rsidR="00277850" w:rsidRDefault="00277850" w:rsidP="00576E1F">
      <w:pPr>
        <w:pStyle w:val="Acronyms"/>
        <w:rPr>
          <w:rFonts w:asciiTheme="majorHAnsi" w:hAnsiTheme="majorHAnsi" w:cstheme="majorHAnsi"/>
        </w:rPr>
      </w:pPr>
      <w:r>
        <w:rPr>
          <w:rFonts w:asciiTheme="majorHAnsi" w:hAnsiTheme="majorHAnsi" w:cstheme="majorHAnsi"/>
        </w:rPr>
        <w:t>ESCO – Energy Services Company</w:t>
      </w:r>
    </w:p>
    <w:p w14:paraId="1CD3438D" w14:textId="5F506569" w:rsidR="003E7189" w:rsidRDefault="003E7189" w:rsidP="00576E1F">
      <w:pPr>
        <w:pStyle w:val="Acronyms"/>
        <w:rPr>
          <w:rFonts w:asciiTheme="majorHAnsi" w:hAnsiTheme="majorHAnsi" w:cstheme="majorHAnsi"/>
        </w:rPr>
      </w:pPr>
      <w:r>
        <w:rPr>
          <w:rFonts w:asciiTheme="majorHAnsi" w:hAnsiTheme="majorHAnsi" w:cstheme="majorHAnsi"/>
        </w:rPr>
        <w:t xml:space="preserve">EPC – </w:t>
      </w:r>
      <w:r w:rsidRPr="003E7189">
        <w:rPr>
          <w:rFonts w:asciiTheme="majorHAnsi" w:hAnsiTheme="majorHAnsi" w:cstheme="majorHAnsi"/>
        </w:rPr>
        <w:t>Engineering</w:t>
      </w:r>
      <w:r>
        <w:rPr>
          <w:rFonts w:asciiTheme="majorHAnsi" w:hAnsiTheme="majorHAnsi" w:cstheme="majorHAnsi"/>
        </w:rPr>
        <w:t>, Procurement and Construction</w:t>
      </w:r>
    </w:p>
    <w:p w14:paraId="4873E7FD" w14:textId="2A781FED" w:rsidR="00277850" w:rsidRDefault="00277850" w:rsidP="00576E1F">
      <w:pPr>
        <w:pStyle w:val="Acronyms"/>
        <w:rPr>
          <w:rFonts w:asciiTheme="majorHAnsi" w:hAnsiTheme="majorHAnsi" w:cstheme="majorHAnsi"/>
        </w:rPr>
      </w:pPr>
      <w:r>
        <w:rPr>
          <w:rFonts w:asciiTheme="majorHAnsi" w:hAnsiTheme="majorHAnsi" w:cstheme="majorHAnsi"/>
        </w:rPr>
        <w:t>FY – Fiscal year</w:t>
      </w:r>
    </w:p>
    <w:p w14:paraId="2683F266" w14:textId="2EB949A7" w:rsidR="003E7189" w:rsidRDefault="003E7189" w:rsidP="00576E1F">
      <w:pPr>
        <w:pStyle w:val="Acronyms"/>
        <w:rPr>
          <w:rFonts w:asciiTheme="majorHAnsi" w:hAnsiTheme="majorHAnsi" w:cstheme="majorHAnsi"/>
        </w:rPr>
      </w:pPr>
      <w:r>
        <w:rPr>
          <w:rFonts w:asciiTheme="majorHAnsi" w:hAnsiTheme="majorHAnsi" w:cstheme="majorHAnsi"/>
        </w:rPr>
        <w:t>Gal – Gallon</w:t>
      </w:r>
    </w:p>
    <w:p w14:paraId="0AB27E58" w14:textId="7C2E3764" w:rsidR="00277850" w:rsidRDefault="00277850" w:rsidP="003E7189">
      <w:pPr>
        <w:pStyle w:val="Acronyms"/>
        <w:rPr>
          <w:rFonts w:asciiTheme="majorHAnsi" w:hAnsiTheme="majorHAnsi" w:cstheme="majorHAnsi"/>
        </w:rPr>
      </w:pPr>
      <w:r>
        <w:rPr>
          <w:rFonts w:asciiTheme="majorHAnsi" w:hAnsiTheme="majorHAnsi" w:cstheme="majorHAnsi"/>
        </w:rPr>
        <w:t>ITC – Investment Tax Credit</w:t>
      </w:r>
    </w:p>
    <w:p w14:paraId="2DE1B7B2" w14:textId="77777777" w:rsidR="003E7189" w:rsidRDefault="003E7189" w:rsidP="003E7189">
      <w:pPr>
        <w:pStyle w:val="Acronyms"/>
        <w:rPr>
          <w:rFonts w:asciiTheme="majorHAnsi" w:hAnsiTheme="majorHAnsi" w:cstheme="majorHAnsi"/>
        </w:rPr>
      </w:pPr>
      <w:r>
        <w:rPr>
          <w:rFonts w:asciiTheme="majorHAnsi" w:hAnsiTheme="majorHAnsi" w:cstheme="majorHAnsi"/>
        </w:rPr>
        <w:t>kW – kilowatt</w:t>
      </w:r>
    </w:p>
    <w:p w14:paraId="3B17C267" w14:textId="612BC86D" w:rsidR="003E7189" w:rsidRDefault="003E7189" w:rsidP="003E7189">
      <w:pPr>
        <w:pStyle w:val="Acronyms"/>
        <w:rPr>
          <w:rFonts w:asciiTheme="majorHAnsi" w:hAnsiTheme="majorHAnsi" w:cstheme="majorHAnsi"/>
        </w:rPr>
      </w:pPr>
      <w:r>
        <w:rPr>
          <w:rFonts w:asciiTheme="majorHAnsi" w:hAnsiTheme="majorHAnsi" w:cstheme="majorHAnsi"/>
        </w:rPr>
        <w:t>kWh – kilowatt hour</w:t>
      </w:r>
    </w:p>
    <w:p w14:paraId="41FBE1A2" w14:textId="7AC0A1AD" w:rsidR="00973B9A" w:rsidRDefault="00973B9A" w:rsidP="003E7189">
      <w:pPr>
        <w:pStyle w:val="Acronyms"/>
        <w:rPr>
          <w:rFonts w:asciiTheme="majorHAnsi" w:hAnsiTheme="majorHAnsi" w:cstheme="majorHAnsi"/>
        </w:rPr>
      </w:pPr>
      <w:r>
        <w:rPr>
          <w:rFonts w:asciiTheme="majorHAnsi" w:hAnsiTheme="majorHAnsi" w:cstheme="majorHAnsi"/>
        </w:rPr>
        <w:t xml:space="preserve">MDT – </w:t>
      </w:r>
      <w:r w:rsidRPr="00973B9A">
        <w:rPr>
          <w:rFonts w:asciiTheme="majorHAnsi" w:hAnsiTheme="majorHAnsi" w:cstheme="majorHAnsi"/>
        </w:rPr>
        <w:t>Microgrid Design Toolkit</w:t>
      </w:r>
    </w:p>
    <w:p w14:paraId="67B4E346" w14:textId="67F94103" w:rsidR="003E7189" w:rsidRDefault="003E7189" w:rsidP="003E7189">
      <w:pPr>
        <w:pStyle w:val="Acronyms"/>
        <w:rPr>
          <w:rFonts w:asciiTheme="majorHAnsi" w:hAnsiTheme="majorHAnsi" w:cstheme="majorHAnsi"/>
        </w:rPr>
      </w:pPr>
      <w:r>
        <w:rPr>
          <w:rFonts w:asciiTheme="majorHAnsi" w:hAnsiTheme="majorHAnsi" w:cstheme="majorHAnsi"/>
        </w:rPr>
        <w:t>MW – megawatt</w:t>
      </w:r>
    </w:p>
    <w:p w14:paraId="68D64B95" w14:textId="77777777" w:rsidR="003E7189" w:rsidRDefault="003E7189" w:rsidP="003E7189">
      <w:pPr>
        <w:pStyle w:val="Acronyms"/>
        <w:rPr>
          <w:rFonts w:asciiTheme="majorHAnsi" w:hAnsiTheme="majorHAnsi" w:cstheme="majorHAnsi"/>
        </w:rPr>
      </w:pPr>
      <w:r>
        <w:rPr>
          <w:rFonts w:asciiTheme="majorHAnsi" w:hAnsiTheme="majorHAnsi" w:cstheme="majorHAnsi"/>
        </w:rPr>
        <w:t>MWh – megawatt hour</w:t>
      </w:r>
      <w:r w:rsidRPr="003E7189">
        <w:rPr>
          <w:rFonts w:asciiTheme="majorHAnsi" w:hAnsiTheme="majorHAnsi" w:cstheme="majorHAnsi"/>
        </w:rPr>
        <w:t xml:space="preserve"> </w:t>
      </w:r>
    </w:p>
    <w:p w14:paraId="4781D6F8" w14:textId="001E76B6" w:rsidR="003E7189" w:rsidRDefault="003E7189" w:rsidP="003E7189">
      <w:pPr>
        <w:pStyle w:val="Acronyms"/>
        <w:rPr>
          <w:rFonts w:asciiTheme="majorHAnsi" w:hAnsiTheme="majorHAnsi" w:cstheme="majorHAnsi"/>
        </w:rPr>
      </w:pPr>
      <w:r>
        <w:rPr>
          <w:rFonts w:asciiTheme="majorHAnsi" w:hAnsiTheme="majorHAnsi" w:cstheme="majorHAnsi"/>
        </w:rPr>
        <w:t xml:space="preserve">NEPA – </w:t>
      </w:r>
      <w:r w:rsidRPr="003E7189">
        <w:rPr>
          <w:rFonts w:asciiTheme="majorHAnsi" w:hAnsiTheme="majorHAnsi" w:cstheme="majorHAnsi"/>
        </w:rPr>
        <w:t>National Environmental Protection Act</w:t>
      </w:r>
    </w:p>
    <w:p w14:paraId="03657891" w14:textId="3A7B1A73" w:rsidR="003E7189" w:rsidRDefault="003E7189" w:rsidP="003E7189">
      <w:pPr>
        <w:pStyle w:val="Acronyms"/>
        <w:rPr>
          <w:rFonts w:asciiTheme="majorHAnsi" w:hAnsiTheme="majorHAnsi" w:cstheme="majorHAnsi"/>
        </w:rPr>
      </w:pPr>
      <w:r>
        <w:rPr>
          <w:rFonts w:asciiTheme="majorHAnsi" w:hAnsiTheme="majorHAnsi" w:cstheme="majorHAnsi"/>
        </w:rPr>
        <w:t>O&amp;M – Operations and maintenance</w:t>
      </w:r>
    </w:p>
    <w:p w14:paraId="140FF00A" w14:textId="2F0AB2A3" w:rsidR="00277850" w:rsidRDefault="00277850" w:rsidP="003E7189">
      <w:pPr>
        <w:pStyle w:val="Acronyms"/>
        <w:rPr>
          <w:rFonts w:asciiTheme="majorHAnsi" w:hAnsiTheme="majorHAnsi" w:cstheme="majorHAnsi"/>
        </w:rPr>
      </w:pPr>
      <w:r>
        <w:rPr>
          <w:rFonts w:asciiTheme="majorHAnsi" w:hAnsiTheme="majorHAnsi" w:cstheme="majorHAnsi"/>
        </w:rPr>
        <w:t>PTC – Production tax credit</w:t>
      </w:r>
    </w:p>
    <w:p w14:paraId="1F096A66" w14:textId="2CA61B72" w:rsidR="003E7189" w:rsidRDefault="003E7189" w:rsidP="003E7189">
      <w:pPr>
        <w:pStyle w:val="Acronyms"/>
        <w:rPr>
          <w:rFonts w:asciiTheme="majorHAnsi" w:hAnsiTheme="majorHAnsi" w:cstheme="majorHAnsi"/>
        </w:rPr>
      </w:pPr>
      <w:r>
        <w:rPr>
          <w:rFonts w:asciiTheme="majorHAnsi" w:hAnsiTheme="majorHAnsi" w:cstheme="majorHAnsi"/>
        </w:rPr>
        <w:t xml:space="preserve">PV </w:t>
      </w:r>
      <w:r w:rsidR="00973B9A">
        <w:rPr>
          <w:rFonts w:asciiTheme="majorHAnsi" w:hAnsiTheme="majorHAnsi" w:cstheme="majorHAnsi"/>
        </w:rPr>
        <w:t>–</w:t>
      </w:r>
      <w:r>
        <w:rPr>
          <w:rFonts w:asciiTheme="majorHAnsi" w:hAnsiTheme="majorHAnsi" w:cstheme="majorHAnsi"/>
        </w:rPr>
        <w:t xml:space="preserve"> Photovoltaic</w:t>
      </w:r>
    </w:p>
    <w:p w14:paraId="4B075E10" w14:textId="676C1DCD" w:rsidR="00973B9A" w:rsidRDefault="00973B9A" w:rsidP="003E7189">
      <w:pPr>
        <w:pStyle w:val="Acronyms"/>
        <w:rPr>
          <w:rFonts w:asciiTheme="majorHAnsi" w:hAnsiTheme="majorHAnsi" w:cstheme="majorHAnsi"/>
        </w:rPr>
      </w:pPr>
      <w:r>
        <w:rPr>
          <w:rFonts w:asciiTheme="majorHAnsi" w:hAnsiTheme="majorHAnsi" w:cstheme="majorHAnsi"/>
        </w:rPr>
        <w:t>RE – Renewable Energy</w:t>
      </w:r>
    </w:p>
    <w:p w14:paraId="54865B1C" w14:textId="77777777" w:rsidR="00277850" w:rsidRDefault="00277850" w:rsidP="00277850">
      <w:pPr>
        <w:pStyle w:val="Acronyms"/>
        <w:rPr>
          <w:rFonts w:asciiTheme="majorHAnsi" w:hAnsiTheme="majorHAnsi" w:cstheme="majorHAnsi"/>
        </w:rPr>
      </w:pPr>
      <w:r w:rsidRPr="00277850">
        <w:rPr>
          <w:rFonts w:asciiTheme="majorHAnsi" w:hAnsiTheme="majorHAnsi" w:cstheme="majorHAnsi"/>
        </w:rPr>
        <w:t xml:space="preserve">REAP </w:t>
      </w:r>
      <w:r>
        <w:rPr>
          <w:rFonts w:asciiTheme="majorHAnsi" w:hAnsiTheme="majorHAnsi" w:cstheme="majorHAnsi"/>
        </w:rPr>
        <w:t xml:space="preserve">– </w:t>
      </w:r>
      <w:r w:rsidRPr="00277850">
        <w:rPr>
          <w:rFonts w:asciiTheme="majorHAnsi" w:hAnsiTheme="majorHAnsi" w:cstheme="majorHAnsi"/>
        </w:rPr>
        <w:t>Ru</w:t>
      </w:r>
      <w:r>
        <w:rPr>
          <w:rFonts w:asciiTheme="majorHAnsi" w:hAnsiTheme="majorHAnsi" w:cstheme="majorHAnsi"/>
        </w:rPr>
        <w:t>ral Energy for America Program</w:t>
      </w:r>
    </w:p>
    <w:p w14:paraId="47DE354C" w14:textId="185E4CFA" w:rsidR="003E7189" w:rsidRDefault="003E7189" w:rsidP="003E7189">
      <w:pPr>
        <w:pStyle w:val="Acronyms"/>
        <w:rPr>
          <w:rFonts w:asciiTheme="majorHAnsi" w:hAnsiTheme="majorHAnsi" w:cstheme="majorHAnsi"/>
        </w:rPr>
      </w:pPr>
      <w:r>
        <w:rPr>
          <w:rFonts w:asciiTheme="majorHAnsi" w:hAnsiTheme="majorHAnsi" w:cstheme="majorHAnsi"/>
        </w:rPr>
        <w:t>USDA – US Department of Agriculture</w:t>
      </w:r>
    </w:p>
    <w:p w14:paraId="75D24762" w14:textId="0F4F1E62" w:rsidR="003E7189" w:rsidRDefault="003E7189" w:rsidP="00277850">
      <w:pPr>
        <w:pStyle w:val="Acronyms"/>
        <w:rPr>
          <w:rFonts w:asciiTheme="majorHAnsi" w:hAnsiTheme="majorHAnsi" w:cstheme="majorHAnsi"/>
        </w:rPr>
      </w:pPr>
      <w:r>
        <w:rPr>
          <w:rFonts w:asciiTheme="majorHAnsi" w:hAnsiTheme="majorHAnsi" w:cstheme="majorHAnsi"/>
        </w:rPr>
        <w:t>USDOE – US Department of Energy</w:t>
      </w:r>
    </w:p>
    <w:p w14:paraId="34488E5C" w14:textId="77777777" w:rsidR="003E7189" w:rsidRDefault="003E7189" w:rsidP="003E7189">
      <w:pPr>
        <w:pStyle w:val="Acronyms"/>
        <w:rPr>
          <w:rFonts w:asciiTheme="majorHAnsi" w:hAnsiTheme="majorHAnsi" w:cstheme="majorHAnsi"/>
        </w:rPr>
      </w:pPr>
    </w:p>
    <w:p w14:paraId="07850948" w14:textId="77777777" w:rsidR="003E7189" w:rsidRDefault="003E7189" w:rsidP="003E7189">
      <w:pPr>
        <w:pStyle w:val="Acronyms"/>
        <w:rPr>
          <w:rFonts w:asciiTheme="majorHAnsi" w:hAnsiTheme="majorHAnsi" w:cstheme="majorHAnsi"/>
        </w:rPr>
      </w:pPr>
    </w:p>
    <w:p w14:paraId="05EF7C26" w14:textId="77777777" w:rsidR="003E7189" w:rsidRDefault="003E7189" w:rsidP="003E7189">
      <w:pPr>
        <w:pStyle w:val="Acronyms"/>
        <w:rPr>
          <w:rFonts w:asciiTheme="majorHAnsi" w:hAnsiTheme="majorHAnsi" w:cstheme="majorHAnsi"/>
        </w:rPr>
      </w:pPr>
    </w:p>
    <w:p w14:paraId="43BFC17C" w14:textId="77777777" w:rsidR="003E7189" w:rsidRPr="00F87603" w:rsidRDefault="003E7189" w:rsidP="00576E1F">
      <w:pPr>
        <w:pStyle w:val="Acronyms"/>
        <w:rPr>
          <w:rFonts w:asciiTheme="majorHAnsi" w:hAnsiTheme="majorHAnsi" w:cstheme="majorHAnsi"/>
        </w:rPr>
        <w:sectPr w:rsidR="003E7189" w:rsidRPr="00F87603" w:rsidSect="00482B31">
          <w:footnotePr>
            <w:numRestart w:val="eachPage"/>
          </w:footnotePr>
          <w:type w:val="oddPage"/>
          <w:pgSz w:w="12240" w:h="15840" w:code="1"/>
          <w:pgMar w:top="1440" w:right="1440" w:bottom="1440" w:left="1440" w:header="720" w:footer="720" w:gutter="0"/>
          <w:pgNumType w:fmt="lowerRoman" w:chapSep="period"/>
          <w:cols w:space="720"/>
        </w:sectPr>
      </w:pPr>
    </w:p>
    <w:sdt>
      <w:sdtPr>
        <w:rPr>
          <w:rFonts w:asciiTheme="majorHAnsi" w:hAnsiTheme="majorHAnsi" w:cstheme="majorHAnsi"/>
          <w:b w:val="0"/>
          <w:kern w:val="0"/>
          <w:sz w:val="22"/>
        </w:rPr>
        <w:id w:val="479653150"/>
        <w:docPartObj>
          <w:docPartGallery w:val="Table of Contents"/>
          <w:docPartUnique/>
        </w:docPartObj>
      </w:sdtPr>
      <w:sdtEndPr>
        <w:rPr>
          <w:bCs/>
          <w:noProof/>
        </w:rPr>
      </w:sdtEndPr>
      <w:sdtContent>
        <w:p w14:paraId="202D7E72" w14:textId="77777777" w:rsidR="000E2E38" w:rsidRPr="00F87603" w:rsidRDefault="000E2E38" w:rsidP="000E2E38">
          <w:pPr>
            <w:pStyle w:val="HeadingFrontNoTOC"/>
            <w:rPr>
              <w:rFonts w:asciiTheme="majorHAnsi" w:hAnsiTheme="majorHAnsi" w:cstheme="majorHAnsi"/>
            </w:rPr>
          </w:pPr>
          <w:r w:rsidRPr="00F87603">
            <w:rPr>
              <w:rFonts w:asciiTheme="majorHAnsi" w:hAnsiTheme="majorHAnsi" w:cstheme="majorHAnsi"/>
            </w:rPr>
            <w:t>Contents</w:t>
          </w:r>
        </w:p>
        <w:p w14:paraId="538C0F48" w14:textId="77777777" w:rsidR="002267D8" w:rsidRPr="002267D8" w:rsidRDefault="00FC19A7">
          <w:pPr>
            <w:pStyle w:val="TOC9"/>
            <w:rPr>
              <w:rFonts w:asciiTheme="majorHAnsi" w:eastAsiaTheme="minorEastAsia" w:hAnsiTheme="majorHAnsi" w:cstheme="majorHAnsi"/>
            </w:rPr>
          </w:pPr>
          <w:r w:rsidRPr="00F87603">
            <w:rPr>
              <w:rFonts w:asciiTheme="majorHAnsi" w:hAnsiTheme="majorHAnsi" w:cstheme="majorHAnsi"/>
            </w:rPr>
            <w:fldChar w:fldCharType="begin"/>
          </w:r>
          <w:r w:rsidRPr="00F87603">
            <w:rPr>
              <w:rFonts w:asciiTheme="majorHAnsi" w:hAnsiTheme="majorHAnsi" w:cstheme="majorHAnsi"/>
            </w:rPr>
            <w:instrText xml:space="preserve"> TOC \o "2-3" \h \z \t "Heading 1,1,Heading 6,9,Heading-Front (TOC),9" </w:instrText>
          </w:r>
          <w:r w:rsidRPr="00F87603">
            <w:rPr>
              <w:rFonts w:asciiTheme="majorHAnsi" w:hAnsiTheme="majorHAnsi" w:cstheme="majorHAnsi"/>
            </w:rPr>
            <w:fldChar w:fldCharType="separate"/>
          </w:r>
          <w:hyperlink w:anchor="_Toc496624716" w:history="1">
            <w:r w:rsidR="002267D8" w:rsidRPr="002267D8">
              <w:rPr>
                <w:rStyle w:val="Hyperlink"/>
                <w:rFonts w:asciiTheme="majorHAnsi" w:hAnsiTheme="majorHAnsi" w:cstheme="majorHAnsi"/>
              </w:rPr>
              <w:t>Abstract</w:t>
            </w:r>
            <w:r w:rsidR="002267D8" w:rsidRPr="002267D8">
              <w:rPr>
                <w:rFonts w:asciiTheme="majorHAnsi" w:hAnsiTheme="majorHAnsi" w:cstheme="majorHAnsi"/>
                <w:webHidden/>
              </w:rPr>
              <w:tab/>
            </w:r>
            <w:r w:rsidR="002267D8" w:rsidRPr="002267D8">
              <w:rPr>
                <w:rFonts w:asciiTheme="majorHAnsi" w:hAnsiTheme="majorHAnsi" w:cstheme="majorHAnsi"/>
                <w:webHidden/>
              </w:rPr>
              <w:fldChar w:fldCharType="begin"/>
            </w:r>
            <w:r w:rsidR="002267D8" w:rsidRPr="002267D8">
              <w:rPr>
                <w:rFonts w:asciiTheme="majorHAnsi" w:hAnsiTheme="majorHAnsi" w:cstheme="majorHAnsi"/>
                <w:webHidden/>
              </w:rPr>
              <w:instrText xml:space="preserve"> PAGEREF _Toc496624716 \h </w:instrText>
            </w:r>
            <w:r w:rsidR="002267D8" w:rsidRPr="002267D8">
              <w:rPr>
                <w:rFonts w:asciiTheme="majorHAnsi" w:hAnsiTheme="majorHAnsi" w:cstheme="majorHAnsi"/>
                <w:webHidden/>
              </w:rPr>
            </w:r>
            <w:r w:rsidR="002267D8" w:rsidRPr="002267D8">
              <w:rPr>
                <w:rFonts w:asciiTheme="majorHAnsi" w:hAnsiTheme="majorHAnsi" w:cstheme="majorHAnsi"/>
                <w:webHidden/>
              </w:rPr>
              <w:fldChar w:fldCharType="separate"/>
            </w:r>
            <w:r w:rsidR="002267D8" w:rsidRPr="002267D8">
              <w:rPr>
                <w:rFonts w:asciiTheme="majorHAnsi" w:hAnsiTheme="majorHAnsi" w:cstheme="majorHAnsi"/>
                <w:webHidden/>
              </w:rPr>
              <w:t>iii</w:t>
            </w:r>
            <w:r w:rsidR="002267D8" w:rsidRPr="002267D8">
              <w:rPr>
                <w:rFonts w:asciiTheme="majorHAnsi" w:hAnsiTheme="majorHAnsi" w:cstheme="majorHAnsi"/>
                <w:webHidden/>
              </w:rPr>
              <w:fldChar w:fldCharType="end"/>
            </w:r>
          </w:hyperlink>
        </w:p>
        <w:p w14:paraId="3F3324DB" w14:textId="77777777" w:rsidR="002267D8" w:rsidRPr="002267D8" w:rsidRDefault="00D2187A">
          <w:pPr>
            <w:pStyle w:val="TOC9"/>
            <w:rPr>
              <w:rFonts w:asciiTheme="majorHAnsi" w:eastAsiaTheme="minorEastAsia" w:hAnsiTheme="majorHAnsi" w:cstheme="majorHAnsi"/>
            </w:rPr>
          </w:pPr>
          <w:hyperlink w:anchor="_Toc496624717" w:history="1">
            <w:r w:rsidR="002267D8" w:rsidRPr="002267D8">
              <w:rPr>
                <w:rStyle w:val="Hyperlink"/>
                <w:rFonts w:asciiTheme="majorHAnsi" w:hAnsiTheme="majorHAnsi" w:cstheme="majorHAnsi"/>
              </w:rPr>
              <w:t>Summary</w:t>
            </w:r>
            <w:r w:rsidR="002267D8" w:rsidRPr="002267D8">
              <w:rPr>
                <w:rFonts w:asciiTheme="majorHAnsi" w:hAnsiTheme="majorHAnsi" w:cstheme="majorHAnsi"/>
                <w:webHidden/>
              </w:rPr>
              <w:tab/>
            </w:r>
            <w:r w:rsidR="002267D8" w:rsidRPr="002267D8">
              <w:rPr>
                <w:rFonts w:asciiTheme="majorHAnsi" w:hAnsiTheme="majorHAnsi" w:cstheme="majorHAnsi"/>
                <w:webHidden/>
              </w:rPr>
              <w:fldChar w:fldCharType="begin"/>
            </w:r>
            <w:r w:rsidR="002267D8" w:rsidRPr="002267D8">
              <w:rPr>
                <w:rFonts w:asciiTheme="majorHAnsi" w:hAnsiTheme="majorHAnsi" w:cstheme="majorHAnsi"/>
                <w:webHidden/>
              </w:rPr>
              <w:instrText xml:space="preserve"> PAGEREF _Toc496624717 \h </w:instrText>
            </w:r>
            <w:r w:rsidR="002267D8" w:rsidRPr="002267D8">
              <w:rPr>
                <w:rFonts w:asciiTheme="majorHAnsi" w:hAnsiTheme="majorHAnsi" w:cstheme="majorHAnsi"/>
                <w:webHidden/>
              </w:rPr>
            </w:r>
            <w:r w:rsidR="002267D8" w:rsidRPr="002267D8">
              <w:rPr>
                <w:rFonts w:asciiTheme="majorHAnsi" w:hAnsiTheme="majorHAnsi" w:cstheme="majorHAnsi"/>
                <w:webHidden/>
              </w:rPr>
              <w:fldChar w:fldCharType="separate"/>
            </w:r>
            <w:r w:rsidR="002267D8" w:rsidRPr="002267D8">
              <w:rPr>
                <w:rFonts w:asciiTheme="majorHAnsi" w:hAnsiTheme="majorHAnsi" w:cstheme="majorHAnsi"/>
                <w:webHidden/>
              </w:rPr>
              <w:t>v</w:t>
            </w:r>
            <w:r w:rsidR="002267D8" w:rsidRPr="002267D8">
              <w:rPr>
                <w:rFonts w:asciiTheme="majorHAnsi" w:hAnsiTheme="majorHAnsi" w:cstheme="majorHAnsi"/>
                <w:webHidden/>
              </w:rPr>
              <w:fldChar w:fldCharType="end"/>
            </w:r>
          </w:hyperlink>
        </w:p>
        <w:p w14:paraId="2819CE63" w14:textId="77777777" w:rsidR="002267D8" w:rsidRPr="002267D8" w:rsidRDefault="00D2187A">
          <w:pPr>
            <w:pStyle w:val="TOC9"/>
            <w:rPr>
              <w:rFonts w:asciiTheme="majorHAnsi" w:eastAsiaTheme="minorEastAsia" w:hAnsiTheme="majorHAnsi" w:cstheme="majorHAnsi"/>
            </w:rPr>
          </w:pPr>
          <w:hyperlink w:anchor="_Toc496624718" w:history="1">
            <w:r w:rsidR="002267D8" w:rsidRPr="002267D8">
              <w:rPr>
                <w:rStyle w:val="Hyperlink"/>
                <w:rFonts w:asciiTheme="majorHAnsi" w:hAnsiTheme="majorHAnsi" w:cstheme="majorHAnsi"/>
              </w:rPr>
              <w:t>Acknowledgments</w:t>
            </w:r>
            <w:r w:rsidR="002267D8" w:rsidRPr="002267D8">
              <w:rPr>
                <w:rFonts w:asciiTheme="majorHAnsi" w:hAnsiTheme="majorHAnsi" w:cstheme="majorHAnsi"/>
                <w:webHidden/>
              </w:rPr>
              <w:tab/>
            </w:r>
            <w:r w:rsidR="002267D8" w:rsidRPr="002267D8">
              <w:rPr>
                <w:rFonts w:asciiTheme="majorHAnsi" w:hAnsiTheme="majorHAnsi" w:cstheme="majorHAnsi"/>
                <w:webHidden/>
              </w:rPr>
              <w:fldChar w:fldCharType="begin"/>
            </w:r>
            <w:r w:rsidR="002267D8" w:rsidRPr="002267D8">
              <w:rPr>
                <w:rFonts w:asciiTheme="majorHAnsi" w:hAnsiTheme="majorHAnsi" w:cstheme="majorHAnsi"/>
                <w:webHidden/>
              </w:rPr>
              <w:instrText xml:space="preserve"> PAGEREF _Toc496624718 \h </w:instrText>
            </w:r>
            <w:r w:rsidR="002267D8" w:rsidRPr="002267D8">
              <w:rPr>
                <w:rFonts w:asciiTheme="majorHAnsi" w:hAnsiTheme="majorHAnsi" w:cstheme="majorHAnsi"/>
                <w:webHidden/>
              </w:rPr>
            </w:r>
            <w:r w:rsidR="002267D8" w:rsidRPr="002267D8">
              <w:rPr>
                <w:rFonts w:asciiTheme="majorHAnsi" w:hAnsiTheme="majorHAnsi" w:cstheme="majorHAnsi"/>
                <w:webHidden/>
              </w:rPr>
              <w:fldChar w:fldCharType="separate"/>
            </w:r>
            <w:r w:rsidR="002267D8" w:rsidRPr="002267D8">
              <w:rPr>
                <w:rFonts w:asciiTheme="majorHAnsi" w:hAnsiTheme="majorHAnsi" w:cstheme="majorHAnsi"/>
                <w:webHidden/>
              </w:rPr>
              <w:t>vii</w:t>
            </w:r>
            <w:r w:rsidR="002267D8" w:rsidRPr="002267D8">
              <w:rPr>
                <w:rFonts w:asciiTheme="majorHAnsi" w:hAnsiTheme="majorHAnsi" w:cstheme="majorHAnsi"/>
                <w:webHidden/>
              </w:rPr>
              <w:fldChar w:fldCharType="end"/>
            </w:r>
          </w:hyperlink>
        </w:p>
        <w:p w14:paraId="010F63DE" w14:textId="77777777" w:rsidR="002267D8" w:rsidRPr="002267D8" w:rsidRDefault="00D2187A">
          <w:pPr>
            <w:pStyle w:val="TOC9"/>
            <w:rPr>
              <w:rFonts w:asciiTheme="majorHAnsi" w:eastAsiaTheme="minorEastAsia" w:hAnsiTheme="majorHAnsi" w:cstheme="majorHAnsi"/>
            </w:rPr>
          </w:pPr>
          <w:hyperlink w:anchor="_Toc496624719" w:history="1">
            <w:r w:rsidR="002267D8" w:rsidRPr="002267D8">
              <w:rPr>
                <w:rStyle w:val="Hyperlink"/>
                <w:rFonts w:asciiTheme="majorHAnsi" w:hAnsiTheme="majorHAnsi" w:cstheme="majorHAnsi"/>
              </w:rPr>
              <w:t>Acronyms and Abbreviations</w:t>
            </w:r>
            <w:r w:rsidR="002267D8" w:rsidRPr="002267D8">
              <w:rPr>
                <w:rFonts w:asciiTheme="majorHAnsi" w:hAnsiTheme="majorHAnsi" w:cstheme="majorHAnsi"/>
                <w:webHidden/>
              </w:rPr>
              <w:tab/>
            </w:r>
            <w:r w:rsidR="002267D8" w:rsidRPr="002267D8">
              <w:rPr>
                <w:rFonts w:asciiTheme="majorHAnsi" w:hAnsiTheme="majorHAnsi" w:cstheme="majorHAnsi"/>
                <w:webHidden/>
              </w:rPr>
              <w:fldChar w:fldCharType="begin"/>
            </w:r>
            <w:r w:rsidR="002267D8" w:rsidRPr="002267D8">
              <w:rPr>
                <w:rFonts w:asciiTheme="majorHAnsi" w:hAnsiTheme="majorHAnsi" w:cstheme="majorHAnsi"/>
                <w:webHidden/>
              </w:rPr>
              <w:instrText xml:space="preserve"> PAGEREF _Toc496624719 \h </w:instrText>
            </w:r>
            <w:r w:rsidR="002267D8" w:rsidRPr="002267D8">
              <w:rPr>
                <w:rFonts w:asciiTheme="majorHAnsi" w:hAnsiTheme="majorHAnsi" w:cstheme="majorHAnsi"/>
                <w:webHidden/>
              </w:rPr>
            </w:r>
            <w:r w:rsidR="002267D8" w:rsidRPr="002267D8">
              <w:rPr>
                <w:rFonts w:asciiTheme="majorHAnsi" w:hAnsiTheme="majorHAnsi" w:cstheme="majorHAnsi"/>
                <w:webHidden/>
              </w:rPr>
              <w:fldChar w:fldCharType="separate"/>
            </w:r>
            <w:r w:rsidR="002267D8" w:rsidRPr="002267D8">
              <w:rPr>
                <w:rFonts w:asciiTheme="majorHAnsi" w:hAnsiTheme="majorHAnsi" w:cstheme="majorHAnsi"/>
                <w:webHidden/>
              </w:rPr>
              <w:t>ix</w:t>
            </w:r>
            <w:r w:rsidR="002267D8" w:rsidRPr="002267D8">
              <w:rPr>
                <w:rFonts w:asciiTheme="majorHAnsi" w:hAnsiTheme="majorHAnsi" w:cstheme="majorHAnsi"/>
                <w:webHidden/>
              </w:rPr>
              <w:fldChar w:fldCharType="end"/>
            </w:r>
          </w:hyperlink>
        </w:p>
        <w:p w14:paraId="4676DC18" w14:textId="77777777" w:rsidR="002267D8" w:rsidRPr="002267D8" w:rsidRDefault="00D2187A">
          <w:pPr>
            <w:pStyle w:val="TOC1"/>
            <w:rPr>
              <w:rFonts w:asciiTheme="majorHAnsi" w:eastAsiaTheme="minorEastAsia" w:hAnsiTheme="majorHAnsi" w:cstheme="majorHAnsi"/>
            </w:rPr>
          </w:pPr>
          <w:hyperlink w:anchor="_Toc496624720" w:history="1">
            <w:r w:rsidR="002267D8" w:rsidRPr="002267D8">
              <w:rPr>
                <w:rStyle w:val="Hyperlink"/>
                <w:rFonts w:asciiTheme="majorHAnsi" w:hAnsiTheme="majorHAnsi" w:cstheme="majorHAnsi"/>
              </w:rPr>
              <w:t>1.0</w:t>
            </w:r>
            <w:r w:rsidR="002267D8" w:rsidRPr="002267D8">
              <w:rPr>
                <w:rFonts w:asciiTheme="majorHAnsi" w:eastAsiaTheme="minorEastAsia" w:hAnsiTheme="majorHAnsi" w:cstheme="majorHAnsi"/>
              </w:rPr>
              <w:tab/>
            </w:r>
            <w:r w:rsidR="002267D8" w:rsidRPr="002267D8">
              <w:rPr>
                <w:rStyle w:val="Hyperlink"/>
                <w:rFonts w:asciiTheme="majorHAnsi" w:hAnsiTheme="majorHAnsi" w:cstheme="majorHAnsi"/>
              </w:rPr>
              <w:t>Introduction</w:t>
            </w:r>
            <w:r w:rsidR="002267D8" w:rsidRPr="002267D8">
              <w:rPr>
                <w:rFonts w:asciiTheme="majorHAnsi" w:hAnsiTheme="majorHAnsi" w:cstheme="majorHAnsi"/>
                <w:webHidden/>
              </w:rPr>
              <w:tab/>
            </w:r>
            <w:r w:rsidR="002267D8" w:rsidRPr="002267D8">
              <w:rPr>
                <w:rFonts w:asciiTheme="majorHAnsi" w:hAnsiTheme="majorHAnsi" w:cstheme="majorHAnsi"/>
                <w:webHidden/>
              </w:rPr>
              <w:fldChar w:fldCharType="begin"/>
            </w:r>
            <w:r w:rsidR="002267D8" w:rsidRPr="002267D8">
              <w:rPr>
                <w:rFonts w:asciiTheme="majorHAnsi" w:hAnsiTheme="majorHAnsi" w:cstheme="majorHAnsi"/>
                <w:webHidden/>
              </w:rPr>
              <w:instrText xml:space="preserve"> PAGEREF _Toc496624720 \h </w:instrText>
            </w:r>
            <w:r w:rsidR="002267D8" w:rsidRPr="002267D8">
              <w:rPr>
                <w:rFonts w:asciiTheme="majorHAnsi" w:hAnsiTheme="majorHAnsi" w:cstheme="majorHAnsi"/>
                <w:webHidden/>
              </w:rPr>
            </w:r>
            <w:r w:rsidR="002267D8" w:rsidRPr="002267D8">
              <w:rPr>
                <w:rFonts w:asciiTheme="majorHAnsi" w:hAnsiTheme="majorHAnsi" w:cstheme="majorHAnsi"/>
                <w:webHidden/>
              </w:rPr>
              <w:fldChar w:fldCharType="separate"/>
            </w:r>
            <w:r w:rsidR="002267D8" w:rsidRPr="002267D8">
              <w:rPr>
                <w:rFonts w:asciiTheme="majorHAnsi" w:hAnsiTheme="majorHAnsi" w:cstheme="majorHAnsi"/>
                <w:webHidden/>
              </w:rPr>
              <w:t>1.1</w:t>
            </w:r>
            <w:r w:rsidR="002267D8" w:rsidRPr="002267D8">
              <w:rPr>
                <w:rFonts w:asciiTheme="majorHAnsi" w:hAnsiTheme="majorHAnsi" w:cstheme="majorHAnsi"/>
                <w:webHidden/>
              </w:rPr>
              <w:fldChar w:fldCharType="end"/>
            </w:r>
          </w:hyperlink>
        </w:p>
        <w:p w14:paraId="58E65125" w14:textId="77777777" w:rsidR="002267D8" w:rsidRPr="002267D8" w:rsidRDefault="00D2187A">
          <w:pPr>
            <w:pStyle w:val="TOC1"/>
            <w:rPr>
              <w:rFonts w:asciiTheme="majorHAnsi" w:eastAsiaTheme="minorEastAsia" w:hAnsiTheme="majorHAnsi" w:cstheme="majorHAnsi"/>
            </w:rPr>
          </w:pPr>
          <w:hyperlink w:anchor="_Toc496624721" w:history="1">
            <w:r w:rsidR="002267D8" w:rsidRPr="002267D8">
              <w:rPr>
                <w:rStyle w:val="Hyperlink"/>
                <w:rFonts w:asciiTheme="majorHAnsi" w:hAnsiTheme="majorHAnsi" w:cstheme="majorHAnsi"/>
              </w:rPr>
              <w:t>2.0</w:t>
            </w:r>
            <w:r w:rsidR="002267D8" w:rsidRPr="002267D8">
              <w:rPr>
                <w:rFonts w:asciiTheme="majorHAnsi" w:eastAsiaTheme="minorEastAsia" w:hAnsiTheme="majorHAnsi" w:cstheme="majorHAnsi"/>
              </w:rPr>
              <w:tab/>
            </w:r>
            <w:r w:rsidR="002267D8" w:rsidRPr="002267D8">
              <w:rPr>
                <w:rStyle w:val="Hyperlink"/>
                <w:rFonts w:asciiTheme="majorHAnsi" w:hAnsiTheme="majorHAnsi" w:cstheme="majorHAnsi"/>
              </w:rPr>
              <w:t>Background</w:t>
            </w:r>
            <w:r w:rsidR="002267D8" w:rsidRPr="002267D8">
              <w:rPr>
                <w:rFonts w:asciiTheme="majorHAnsi" w:hAnsiTheme="majorHAnsi" w:cstheme="majorHAnsi"/>
                <w:webHidden/>
              </w:rPr>
              <w:tab/>
            </w:r>
            <w:r w:rsidR="002267D8" w:rsidRPr="002267D8">
              <w:rPr>
                <w:rFonts w:asciiTheme="majorHAnsi" w:hAnsiTheme="majorHAnsi" w:cstheme="majorHAnsi"/>
                <w:webHidden/>
              </w:rPr>
              <w:fldChar w:fldCharType="begin"/>
            </w:r>
            <w:r w:rsidR="002267D8" w:rsidRPr="002267D8">
              <w:rPr>
                <w:rFonts w:asciiTheme="majorHAnsi" w:hAnsiTheme="majorHAnsi" w:cstheme="majorHAnsi"/>
                <w:webHidden/>
              </w:rPr>
              <w:instrText xml:space="preserve"> PAGEREF _Toc496624721 \h </w:instrText>
            </w:r>
            <w:r w:rsidR="002267D8" w:rsidRPr="002267D8">
              <w:rPr>
                <w:rFonts w:asciiTheme="majorHAnsi" w:hAnsiTheme="majorHAnsi" w:cstheme="majorHAnsi"/>
                <w:webHidden/>
              </w:rPr>
            </w:r>
            <w:r w:rsidR="002267D8" w:rsidRPr="002267D8">
              <w:rPr>
                <w:rFonts w:asciiTheme="majorHAnsi" w:hAnsiTheme="majorHAnsi" w:cstheme="majorHAnsi"/>
                <w:webHidden/>
              </w:rPr>
              <w:fldChar w:fldCharType="separate"/>
            </w:r>
            <w:r w:rsidR="002267D8" w:rsidRPr="002267D8">
              <w:rPr>
                <w:rFonts w:asciiTheme="majorHAnsi" w:hAnsiTheme="majorHAnsi" w:cstheme="majorHAnsi"/>
                <w:webHidden/>
              </w:rPr>
              <w:t>2.1</w:t>
            </w:r>
            <w:r w:rsidR="002267D8" w:rsidRPr="002267D8">
              <w:rPr>
                <w:rFonts w:asciiTheme="majorHAnsi" w:hAnsiTheme="majorHAnsi" w:cstheme="majorHAnsi"/>
                <w:webHidden/>
              </w:rPr>
              <w:fldChar w:fldCharType="end"/>
            </w:r>
          </w:hyperlink>
        </w:p>
        <w:p w14:paraId="16C3E83D" w14:textId="77777777" w:rsidR="002267D8" w:rsidRPr="002267D8" w:rsidRDefault="00D2187A">
          <w:pPr>
            <w:pStyle w:val="TOC1"/>
            <w:rPr>
              <w:rFonts w:asciiTheme="majorHAnsi" w:eastAsiaTheme="minorEastAsia" w:hAnsiTheme="majorHAnsi" w:cstheme="majorHAnsi"/>
            </w:rPr>
          </w:pPr>
          <w:hyperlink w:anchor="_Toc496624722" w:history="1">
            <w:r w:rsidR="002267D8" w:rsidRPr="002267D8">
              <w:rPr>
                <w:rStyle w:val="Hyperlink"/>
                <w:rFonts w:asciiTheme="majorHAnsi" w:hAnsiTheme="majorHAnsi" w:cstheme="majorHAnsi"/>
              </w:rPr>
              <w:t>3.0</w:t>
            </w:r>
            <w:r w:rsidR="002267D8" w:rsidRPr="002267D8">
              <w:rPr>
                <w:rFonts w:asciiTheme="majorHAnsi" w:eastAsiaTheme="minorEastAsia" w:hAnsiTheme="majorHAnsi" w:cstheme="majorHAnsi"/>
              </w:rPr>
              <w:tab/>
            </w:r>
            <w:r w:rsidR="002267D8" w:rsidRPr="002267D8">
              <w:rPr>
                <w:rStyle w:val="Hyperlink"/>
                <w:rFonts w:asciiTheme="majorHAnsi" w:hAnsiTheme="majorHAnsi" w:cstheme="majorHAnsi"/>
              </w:rPr>
              <w:t>Project Objective</w:t>
            </w:r>
            <w:r w:rsidR="002267D8" w:rsidRPr="002267D8">
              <w:rPr>
                <w:rFonts w:asciiTheme="majorHAnsi" w:hAnsiTheme="majorHAnsi" w:cstheme="majorHAnsi"/>
                <w:webHidden/>
              </w:rPr>
              <w:tab/>
            </w:r>
            <w:r w:rsidR="002267D8" w:rsidRPr="002267D8">
              <w:rPr>
                <w:rFonts w:asciiTheme="majorHAnsi" w:hAnsiTheme="majorHAnsi" w:cstheme="majorHAnsi"/>
                <w:webHidden/>
              </w:rPr>
              <w:fldChar w:fldCharType="begin"/>
            </w:r>
            <w:r w:rsidR="002267D8" w:rsidRPr="002267D8">
              <w:rPr>
                <w:rFonts w:asciiTheme="majorHAnsi" w:hAnsiTheme="majorHAnsi" w:cstheme="majorHAnsi"/>
                <w:webHidden/>
              </w:rPr>
              <w:instrText xml:space="preserve"> PAGEREF _Toc496624722 \h </w:instrText>
            </w:r>
            <w:r w:rsidR="002267D8" w:rsidRPr="002267D8">
              <w:rPr>
                <w:rFonts w:asciiTheme="majorHAnsi" w:hAnsiTheme="majorHAnsi" w:cstheme="majorHAnsi"/>
                <w:webHidden/>
              </w:rPr>
            </w:r>
            <w:r w:rsidR="002267D8" w:rsidRPr="002267D8">
              <w:rPr>
                <w:rFonts w:asciiTheme="majorHAnsi" w:hAnsiTheme="majorHAnsi" w:cstheme="majorHAnsi"/>
                <w:webHidden/>
              </w:rPr>
              <w:fldChar w:fldCharType="separate"/>
            </w:r>
            <w:r w:rsidR="002267D8" w:rsidRPr="002267D8">
              <w:rPr>
                <w:rFonts w:asciiTheme="majorHAnsi" w:hAnsiTheme="majorHAnsi" w:cstheme="majorHAnsi"/>
                <w:webHidden/>
              </w:rPr>
              <w:t>3.1</w:t>
            </w:r>
            <w:r w:rsidR="002267D8" w:rsidRPr="002267D8">
              <w:rPr>
                <w:rFonts w:asciiTheme="majorHAnsi" w:hAnsiTheme="majorHAnsi" w:cstheme="majorHAnsi"/>
                <w:webHidden/>
              </w:rPr>
              <w:fldChar w:fldCharType="end"/>
            </w:r>
          </w:hyperlink>
        </w:p>
        <w:p w14:paraId="74B11FEF" w14:textId="77777777" w:rsidR="002267D8" w:rsidRPr="002267D8" w:rsidRDefault="00D2187A">
          <w:pPr>
            <w:pStyle w:val="TOC1"/>
            <w:rPr>
              <w:rFonts w:asciiTheme="majorHAnsi" w:eastAsiaTheme="minorEastAsia" w:hAnsiTheme="majorHAnsi" w:cstheme="majorHAnsi"/>
            </w:rPr>
          </w:pPr>
          <w:hyperlink w:anchor="_Toc496624723" w:history="1">
            <w:r w:rsidR="002267D8" w:rsidRPr="002267D8">
              <w:rPr>
                <w:rStyle w:val="Hyperlink"/>
                <w:rFonts w:asciiTheme="majorHAnsi" w:hAnsiTheme="majorHAnsi" w:cstheme="majorHAnsi"/>
              </w:rPr>
              <w:t>4.0</w:t>
            </w:r>
            <w:r w:rsidR="002267D8" w:rsidRPr="002267D8">
              <w:rPr>
                <w:rFonts w:asciiTheme="majorHAnsi" w:eastAsiaTheme="minorEastAsia" w:hAnsiTheme="majorHAnsi" w:cstheme="majorHAnsi"/>
              </w:rPr>
              <w:tab/>
            </w:r>
            <w:r w:rsidR="002267D8" w:rsidRPr="002267D8">
              <w:rPr>
                <w:rStyle w:val="Hyperlink"/>
                <w:rFonts w:asciiTheme="majorHAnsi" w:hAnsiTheme="majorHAnsi" w:cstheme="majorHAnsi"/>
              </w:rPr>
              <w:t>Project Description</w:t>
            </w:r>
            <w:r w:rsidR="002267D8" w:rsidRPr="002267D8">
              <w:rPr>
                <w:rFonts w:asciiTheme="majorHAnsi" w:hAnsiTheme="majorHAnsi" w:cstheme="majorHAnsi"/>
                <w:webHidden/>
              </w:rPr>
              <w:tab/>
            </w:r>
            <w:r w:rsidR="002267D8" w:rsidRPr="002267D8">
              <w:rPr>
                <w:rFonts w:asciiTheme="majorHAnsi" w:hAnsiTheme="majorHAnsi" w:cstheme="majorHAnsi"/>
                <w:webHidden/>
              </w:rPr>
              <w:fldChar w:fldCharType="begin"/>
            </w:r>
            <w:r w:rsidR="002267D8" w:rsidRPr="002267D8">
              <w:rPr>
                <w:rFonts w:asciiTheme="majorHAnsi" w:hAnsiTheme="majorHAnsi" w:cstheme="majorHAnsi"/>
                <w:webHidden/>
              </w:rPr>
              <w:instrText xml:space="preserve"> PAGEREF _Toc496624723 \h </w:instrText>
            </w:r>
            <w:r w:rsidR="002267D8" w:rsidRPr="002267D8">
              <w:rPr>
                <w:rFonts w:asciiTheme="majorHAnsi" w:hAnsiTheme="majorHAnsi" w:cstheme="majorHAnsi"/>
                <w:webHidden/>
              </w:rPr>
            </w:r>
            <w:r w:rsidR="002267D8" w:rsidRPr="002267D8">
              <w:rPr>
                <w:rFonts w:asciiTheme="majorHAnsi" w:hAnsiTheme="majorHAnsi" w:cstheme="majorHAnsi"/>
                <w:webHidden/>
              </w:rPr>
              <w:fldChar w:fldCharType="separate"/>
            </w:r>
            <w:r w:rsidR="002267D8" w:rsidRPr="002267D8">
              <w:rPr>
                <w:rFonts w:asciiTheme="majorHAnsi" w:hAnsiTheme="majorHAnsi" w:cstheme="majorHAnsi"/>
                <w:webHidden/>
              </w:rPr>
              <w:t>4.1</w:t>
            </w:r>
            <w:r w:rsidR="002267D8" w:rsidRPr="002267D8">
              <w:rPr>
                <w:rFonts w:asciiTheme="majorHAnsi" w:hAnsiTheme="majorHAnsi" w:cstheme="majorHAnsi"/>
                <w:webHidden/>
              </w:rPr>
              <w:fldChar w:fldCharType="end"/>
            </w:r>
          </w:hyperlink>
        </w:p>
        <w:p w14:paraId="4A23015E" w14:textId="77777777" w:rsidR="002267D8" w:rsidRPr="002267D8" w:rsidRDefault="00D2187A">
          <w:pPr>
            <w:pStyle w:val="TOC1"/>
            <w:rPr>
              <w:rFonts w:asciiTheme="majorHAnsi" w:eastAsiaTheme="minorEastAsia" w:hAnsiTheme="majorHAnsi" w:cstheme="majorHAnsi"/>
            </w:rPr>
          </w:pPr>
          <w:hyperlink w:anchor="_Toc496624724" w:history="1">
            <w:r w:rsidR="002267D8" w:rsidRPr="002267D8">
              <w:rPr>
                <w:rStyle w:val="Hyperlink"/>
                <w:rFonts w:asciiTheme="majorHAnsi" w:hAnsiTheme="majorHAnsi" w:cstheme="majorHAnsi"/>
              </w:rPr>
              <w:t>5.0</w:t>
            </w:r>
            <w:r w:rsidR="002267D8" w:rsidRPr="002267D8">
              <w:rPr>
                <w:rFonts w:asciiTheme="majorHAnsi" w:eastAsiaTheme="minorEastAsia" w:hAnsiTheme="majorHAnsi" w:cstheme="majorHAnsi"/>
              </w:rPr>
              <w:tab/>
            </w:r>
            <w:r w:rsidR="002267D8" w:rsidRPr="002267D8">
              <w:rPr>
                <w:rStyle w:val="Hyperlink"/>
                <w:rFonts w:asciiTheme="majorHAnsi" w:hAnsiTheme="majorHAnsi" w:cstheme="majorHAnsi"/>
              </w:rPr>
              <w:t>Alternatives Studied</w:t>
            </w:r>
            <w:r w:rsidR="002267D8" w:rsidRPr="002267D8">
              <w:rPr>
                <w:rFonts w:asciiTheme="majorHAnsi" w:hAnsiTheme="majorHAnsi" w:cstheme="majorHAnsi"/>
                <w:webHidden/>
              </w:rPr>
              <w:tab/>
            </w:r>
            <w:r w:rsidR="002267D8" w:rsidRPr="002267D8">
              <w:rPr>
                <w:rFonts w:asciiTheme="majorHAnsi" w:hAnsiTheme="majorHAnsi" w:cstheme="majorHAnsi"/>
                <w:webHidden/>
              </w:rPr>
              <w:fldChar w:fldCharType="begin"/>
            </w:r>
            <w:r w:rsidR="002267D8" w:rsidRPr="002267D8">
              <w:rPr>
                <w:rFonts w:asciiTheme="majorHAnsi" w:hAnsiTheme="majorHAnsi" w:cstheme="majorHAnsi"/>
                <w:webHidden/>
              </w:rPr>
              <w:instrText xml:space="preserve"> PAGEREF _Toc496624724 \h </w:instrText>
            </w:r>
            <w:r w:rsidR="002267D8" w:rsidRPr="002267D8">
              <w:rPr>
                <w:rFonts w:asciiTheme="majorHAnsi" w:hAnsiTheme="majorHAnsi" w:cstheme="majorHAnsi"/>
                <w:webHidden/>
              </w:rPr>
            </w:r>
            <w:r w:rsidR="002267D8" w:rsidRPr="002267D8">
              <w:rPr>
                <w:rFonts w:asciiTheme="majorHAnsi" w:hAnsiTheme="majorHAnsi" w:cstheme="majorHAnsi"/>
                <w:webHidden/>
              </w:rPr>
              <w:fldChar w:fldCharType="separate"/>
            </w:r>
            <w:r w:rsidR="002267D8" w:rsidRPr="002267D8">
              <w:rPr>
                <w:rFonts w:asciiTheme="majorHAnsi" w:hAnsiTheme="majorHAnsi" w:cstheme="majorHAnsi"/>
                <w:webHidden/>
              </w:rPr>
              <w:t>5.1</w:t>
            </w:r>
            <w:r w:rsidR="002267D8" w:rsidRPr="002267D8">
              <w:rPr>
                <w:rFonts w:asciiTheme="majorHAnsi" w:hAnsiTheme="majorHAnsi" w:cstheme="majorHAnsi"/>
                <w:webHidden/>
              </w:rPr>
              <w:fldChar w:fldCharType="end"/>
            </w:r>
          </w:hyperlink>
        </w:p>
        <w:p w14:paraId="3BF86291" w14:textId="77777777" w:rsidR="002267D8" w:rsidRPr="002267D8" w:rsidRDefault="00D2187A">
          <w:pPr>
            <w:pStyle w:val="TOC1"/>
            <w:rPr>
              <w:rFonts w:asciiTheme="majorHAnsi" w:eastAsiaTheme="minorEastAsia" w:hAnsiTheme="majorHAnsi" w:cstheme="majorHAnsi"/>
            </w:rPr>
          </w:pPr>
          <w:hyperlink w:anchor="_Toc496624725" w:history="1">
            <w:r w:rsidR="002267D8" w:rsidRPr="002267D8">
              <w:rPr>
                <w:rStyle w:val="Hyperlink"/>
                <w:rFonts w:asciiTheme="majorHAnsi" w:hAnsiTheme="majorHAnsi" w:cstheme="majorHAnsi"/>
              </w:rPr>
              <w:t>6.0</w:t>
            </w:r>
            <w:r w:rsidR="002267D8" w:rsidRPr="002267D8">
              <w:rPr>
                <w:rFonts w:asciiTheme="majorHAnsi" w:eastAsiaTheme="minorEastAsia" w:hAnsiTheme="majorHAnsi" w:cstheme="majorHAnsi"/>
              </w:rPr>
              <w:tab/>
            </w:r>
            <w:r w:rsidR="002267D8" w:rsidRPr="002267D8">
              <w:rPr>
                <w:rStyle w:val="Hyperlink"/>
                <w:rFonts w:asciiTheme="majorHAnsi" w:hAnsiTheme="majorHAnsi" w:cstheme="majorHAnsi"/>
              </w:rPr>
              <w:t>Permitting</w:t>
            </w:r>
            <w:r w:rsidR="002267D8" w:rsidRPr="002267D8">
              <w:rPr>
                <w:rFonts w:asciiTheme="majorHAnsi" w:hAnsiTheme="majorHAnsi" w:cstheme="majorHAnsi"/>
                <w:webHidden/>
              </w:rPr>
              <w:tab/>
            </w:r>
            <w:r w:rsidR="002267D8" w:rsidRPr="002267D8">
              <w:rPr>
                <w:rFonts w:asciiTheme="majorHAnsi" w:hAnsiTheme="majorHAnsi" w:cstheme="majorHAnsi"/>
                <w:webHidden/>
              </w:rPr>
              <w:fldChar w:fldCharType="begin"/>
            </w:r>
            <w:r w:rsidR="002267D8" w:rsidRPr="002267D8">
              <w:rPr>
                <w:rFonts w:asciiTheme="majorHAnsi" w:hAnsiTheme="majorHAnsi" w:cstheme="majorHAnsi"/>
                <w:webHidden/>
              </w:rPr>
              <w:instrText xml:space="preserve"> PAGEREF _Toc496624725 \h </w:instrText>
            </w:r>
            <w:r w:rsidR="002267D8" w:rsidRPr="002267D8">
              <w:rPr>
                <w:rFonts w:asciiTheme="majorHAnsi" w:hAnsiTheme="majorHAnsi" w:cstheme="majorHAnsi"/>
                <w:webHidden/>
              </w:rPr>
            </w:r>
            <w:r w:rsidR="002267D8" w:rsidRPr="002267D8">
              <w:rPr>
                <w:rFonts w:asciiTheme="majorHAnsi" w:hAnsiTheme="majorHAnsi" w:cstheme="majorHAnsi"/>
                <w:webHidden/>
              </w:rPr>
              <w:fldChar w:fldCharType="separate"/>
            </w:r>
            <w:r w:rsidR="002267D8" w:rsidRPr="002267D8">
              <w:rPr>
                <w:rFonts w:asciiTheme="majorHAnsi" w:hAnsiTheme="majorHAnsi" w:cstheme="majorHAnsi"/>
                <w:webHidden/>
              </w:rPr>
              <w:t>6.1</w:t>
            </w:r>
            <w:r w:rsidR="002267D8" w:rsidRPr="002267D8">
              <w:rPr>
                <w:rFonts w:asciiTheme="majorHAnsi" w:hAnsiTheme="majorHAnsi" w:cstheme="majorHAnsi"/>
                <w:webHidden/>
              </w:rPr>
              <w:fldChar w:fldCharType="end"/>
            </w:r>
          </w:hyperlink>
        </w:p>
        <w:p w14:paraId="42EA3256" w14:textId="77777777" w:rsidR="002267D8" w:rsidRPr="002267D8" w:rsidRDefault="00D2187A">
          <w:pPr>
            <w:pStyle w:val="TOC1"/>
            <w:rPr>
              <w:rFonts w:asciiTheme="majorHAnsi" w:eastAsiaTheme="minorEastAsia" w:hAnsiTheme="majorHAnsi" w:cstheme="majorHAnsi"/>
            </w:rPr>
          </w:pPr>
          <w:hyperlink w:anchor="_Toc496624726" w:history="1">
            <w:r w:rsidR="002267D8" w:rsidRPr="002267D8">
              <w:rPr>
                <w:rStyle w:val="Hyperlink"/>
                <w:rFonts w:asciiTheme="majorHAnsi" w:hAnsiTheme="majorHAnsi" w:cstheme="majorHAnsi"/>
              </w:rPr>
              <w:t>7.0</w:t>
            </w:r>
            <w:r w:rsidR="002267D8" w:rsidRPr="002267D8">
              <w:rPr>
                <w:rFonts w:asciiTheme="majorHAnsi" w:eastAsiaTheme="minorEastAsia" w:hAnsiTheme="majorHAnsi" w:cstheme="majorHAnsi"/>
              </w:rPr>
              <w:tab/>
            </w:r>
            <w:r w:rsidR="002267D8" w:rsidRPr="002267D8">
              <w:rPr>
                <w:rStyle w:val="Hyperlink"/>
                <w:rFonts w:asciiTheme="majorHAnsi" w:hAnsiTheme="majorHAnsi" w:cstheme="majorHAnsi"/>
              </w:rPr>
              <w:t>Risks</w:t>
            </w:r>
            <w:r w:rsidR="002267D8" w:rsidRPr="002267D8">
              <w:rPr>
                <w:rFonts w:asciiTheme="majorHAnsi" w:hAnsiTheme="majorHAnsi" w:cstheme="majorHAnsi"/>
                <w:webHidden/>
              </w:rPr>
              <w:tab/>
            </w:r>
            <w:r w:rsidR="002267D8" w:rsidRPr="002267D8">
              <w:rPr>
                <w:rFonts w:asciiTheme="majorHAnsi" w:hAnsiTheme="majorHAnsi" w:cstheme="majorHAnsi"/>
                <w:webHidden/>
              </w:rPr>
              <w:fldChar w:fldCharType="begin"/>
            </w:r>
            <w:r w:rsidR="002267D8" w:rsidRPr="002267D8">
              <w:rPr>
                <w:rFonts w:asciiTheme="majorHAnsi" w:hAnsiTheme="majorHAnsi" w:cstheme="majorHAnsi"/>
                <w:webHidden/>
              </w:rPr>
              <w:instrText xml:space="preserve"> PAGEREF _Toc496624726 \h </w:instrText>
            </w:r>
            <w:r w:rsidR="002267D8" w:rsidRPr="002267D8">
              <w:rPr>
                <w:rFonts w:asciiTheme="majorHAnsi" w:hAnsiTheme="majorHAnsi" w:cstheme="majorHAnsi"/>
                <w:webHidden/>
              </w:rPr>
            </w:r>
            <w:r w:rsidR="002267D8" w:rsidRPr="002267D8">
              <w:rPr>
                <w:rFonts w:asciiTheme="majorHAnsi" w:hAnsiTheme="majorHAnsi" w:cstheme="majorHAnsi"/>
                <w:webHidden/>
              </w:rPr>
              <w:fldChar w:fldCharType="separate"/>
            </w:r>
            <w:r w:rsidR="002267D8" w:rsidRPr="002267D8">
              <w:rPr>
                <w:rFonts w:asciiTheme="majorHAnsi" w:hAnsiTheme="majorHAnsi" w:cstheme="majorHAnsi"/>
                <w:webHidden/>
              </w:rPr>
              <w:t>7.1</w:t>
            </w:r>
            <w:r w:rsidR="002267D8" w:rsidRPr="002267D8">
              <w:rPr>
                <w:rFonts w:asciiTheme="majorHAnsi" w:hAnsiTheme="majorHAnsi" w:cstheme="majorHAnsi"/>
                <w:webHidden/>
              </w:rPr>
              <w:fldChar w:fldCharType="end"/>
            </w:r>
          </w:hyperlink>
        </w:p>
        <w:p w14:paraId="2D99E908" w14:textId="77777777" w:rsidR="002267D8" w:rsidRPr="002267D8" w:rsidRDefault="00D2187A">
          <w:pPr>
            <w:pStyle w:val="TOC2"/>
            <w:rPr>
              <w:rFonts w:asciiTheme="majorHAnsi" w:eastAsiaTheme="minorEastAsia" w:hAnsiTheme="majorHAnsi" w:cstheme="majorHAnsi"/>
            </w:rPr>
          </w:pPr>
          <w:hyperlink w:anchor="_Toc496624727" w:history="1">
            <w:r w:rsidR="002267D8" w:rsidRPr="002267D8">
              <w:rPr>
                <w:rStyle w:val="Hyperlink"/>
                <w:rFonts w:asciiTheme="majorHAnsi" w:hAnsiTheme="majorHAnsi" w:cstheme="majorHAnsi"/>
              </w:rPr>
              <w:t>7.1</w:t>
            </w:r>
            <w:r w:rsidR="002267D8" w:rsidRPr="002267D8">
              <w:rPr>
                <w:rFonts w:asciiTheme="majorHAnsi" w:eastAsiaTheme="minorEastAsia" w:hAnsiTheme="majorHAnsi" w:cstheme="majorHAnsi"/>
              </w:rPr>
              <w:tab/>
            </w:r>
            <w:r w:rsidR="002267D8" w:rsidRPr="002267D8">
              <w:rPr>
                <w:rStyle w:val="Hyperlink"/>
                <w:rFonts w:asciiTheme="majorHAnsi" w:hAnsiTheme="majorHAnsi" w:cstheme="majorHAnsi"/>
              </w:rPr>
              <w:t>Financial risks</w:t>
            </w:r>
            <w:r w:rsidR="002267D8" w:rsidRPr="002267D8">
              <w:rPr>
                <w:rFonts w:asciiTheme="majorHAnsi" w:hAnsiTheme="majorHAnsi" w:cstheme="majorHAnsi"/>
                <w:webHidden/>
              </w:rPr>
              <w:tab/>
            </w:r>
            <w:r w:rsidR="002267D8" w:rsidRPr="002267D8">
              <w:rPr>
                <w:rFonts w:asciiTheme="majorHAnsi" w:hAnsiTheme="majorHAnsi" w:cstheme="majorHAnsi"/>
                <w:webHidden/>
              </w:rPr>
              <w:fldChar w:fldCharType="begin"/>
            </w:r>
            <w:r w:rsidR="002267D8" w:rsidRPr="002267D8">
              <w:rPr>
                <w:rFonts w:asciiTheme="majorHAnsi" w:hAnsiTheme="majorHAnsi" w:cstheme="majorHAnsi"/>
                <w:webHidden/>
              </w:rPr>
              <w:instrText xml:space="preserve"> PAGEREF _Toc496624727 \h </w:instrText>
            </w:r>
            <w:r w:rsidR="002267D8" w:rsidRPr="002267D8">
              <w:rPr>
                <w:rFonts w:asciiTheme="majorHAnsi" w:hAnsiTheme="majorHAnsi" w:cstheme="majorHAnsi"/>
                <w:webHidden/>
              </w:rPr>
            </w:r>
            <w:r w:rsidR="002267D8" w:rsidRPr="002267D8">
              <w:rPr>
                <w:rFonts w:asciiTheme="majorHAnsi" w:hAnsiTheme="majorHAnsi" w:cstheme="majorHAnsi"/>
                <w:webHidden/>
              </w:rPr>
              <w:fldChar w:fldCharType="separate"/>
            </w:r>
            <w:r w:rsidR="002267D8" w:rsidRPr="002267D8">
              <w:rPr>
                <w:rFonts w:asciiTheme="majorHAnsi" w:hAnsiTheme="majorHAnsi" w:cstheme="majorHAnsi"/>
                <w:webHidden/>
              </w:rPr>
              <w:t>7.1</w:t>
            </w:r>
            <w:r w:rsidR="002267D8" w:rsidRPr="002267D8">
              <w:rPr>
                <w:rFonts w:asciiTheme="majorHAnsi" w:hAnsiTheme="majorHAnsi" w:cstheme="majorHAnsi"/>
                <w:webHidden/>
              </w:rPr>
              <w:fldChar w:fldCharType="end"/>
            </w:r>
          </w:hyperlink>
        </w:p>
        <w:p w14:paraId="048D9EF1" w14:textId="77777777" w:rsidR="002267D8" w:rsidRPr="002267D8" w:rsidRDefault="00D2187A">
          <w:pPr>
            <w:pStyle w:val="TOC2"/>
            <w:rPr>
              <w:rFonts w:asciiTheme="majorHAnsi" w:eastAsiaTheme="minorEastAsia" w:hAnsiTheme="majorHAnsi" w:cstheme="majorHAnsi"/>
            </w:rPr>
          </w:pPr>
          <w:hyperlink w:anchor="_Toc496624728" w:history="1">
            <w:r w:rsidR="002267D8" w:rsidRPr="002267D8">
              <w:rPr>
                <w:rStyle w:val="Hyperlink"/>
                <w:rFonts w:asciiTheme="majorHAnsi" w:hAnsiTheme="majorHAnsi" w:cstheme="majorHAnsi"/>
              </w:rPr>
              <w:t>7.2</w:t>
            </w:r>
            <w:r w:rsidR="002267D8" w:rsidRPr="002267D8">
              <w:rPr>
                <w:rFonts w:asciiTheme="majorHAnsi" w:eastAsiaTheme="minorEastAsia" w:hAnsiTheme="majorHAnsi" w:cstheme="majorHAnsi"/>
              </w:rPr>
              <w:tab/>
            </w:r>
            <w:r w:rsidR="002267D8" w:rsidRPr="002267D8">
              <w:rPr>
                <w:rStyle w:val="Hyperlink"/>
                <w:rFonts w:asciiTheme="majorHAnsi" w:hAnsiTheme="majorHAnsi" w:cstheme="majorHAnsi"/>
              </w:rPr>
              <w:t>Other issues associated with financing</w:t>
            </w:r>
            <w:r w:rsidR="002267D8" w:rsidRPr="002267D8">
              <w:rPr>
                <w:rFonts w:asciiTheme="majorHAnsi" w:hAnsiTheme="majorHAnsi" w:cstheme="majorHAnsi"/>
                <w:webHidden/>
              </w:rPr>
              <w:tab/>
            </w:r>
            <w:r w:rsidR="002267D8" w:rsidRPr="002267D8">
              <w:rPr>
                <w:rFonts w:asciiTheme="majorHAnsi" w:hAnsiTheme="majorHAnsi" w:cstheme="majorHAnsi"/>
                <w:webHidden/>
              </w:rPr>
              <w:fldChar w:fldCharType="begin"/>
            </w:r>
            <w:r w:rsidR="002267D8" w:rsidRPr="002267D8">
              <w:rPr>
                <w:rFonts w:asciiTheme="majorHAnsi" w:hAnsiTheme="majorHAnsi" w:cstheme="majorHAnsi"/>
                <w:webHidden/>
              </w:rPr>
              <w:instrText xml:space="preserve"> PAGEREF _Toc496624728 \h </w:instrText>
            </w:r>
            <w:r w:rsidR="002267D8" w:rsidRPr="002267D8">
              <w:rPr>
                <w:rFonts w:asciiTheme="majorHAnsi" w:hAnsiTheme="majorHAnsi" w:cstheme="majorHAnsi"/>
                <w:webHidden/>
              </w:rPr>
            </w:r>
            <w:r w:rsidR="002267D8" w:rsidRPr="002267D8">
              <w:rPr>
                <w:rFonts w:asciiTheme="majorHAnsi" w:hAnsiTheme="majorHAnsi" w:cstheme="majorHAnsi"/>
                <w:webHidden/>
              </w:rPr>
              <w:fldChar w:fldCharType="separate"/>
            </w:r>
            <w:r w:rsidR="002267D8" w:rsidRPr="002267D8">
              <w:rPr>
                <w:rFonts w:asciiTheme="majorHAnsi" w:hAnsiTheme="majorHAnsi" w:cstheme="majorHAnsi"/>
                <w:webHidden/>
              </w:rPr>
              <w:t>7.3</w:t>
            </w:r>
            <w:r w:rsidR="002267D8" w:rsidRPr="002267D8">
              <w:rPr>
                <w:rFonts w:asciiTheme="majorHAnsi" w:hAnsiTheme="majorHAnsi" w:cstheme="majorHAnsi"/>
                <w:webHidden/>
              </w:rPr>
              <w:fldChar w:fldCharType="end"/>
            </w:r>
          </w:hyperlink>
        </w:p>
        <w:p w14:paraId="48173E85" w14:textId="77777777" w:rsidR="002267D8" w:rsidRPr="002267D8" w:rsidRDefault="00D2187A">
          <w:pPr>
            <w:pStyle w:val="TOC1"/>
            <w:rPr>
              <w:rFonts w:asciiTheme="majorHAnsi" w:eastAsiaTheme="minorEastAsia" w:hAnsiTheme="majorHAnsi" w:cstheme="majorHAnsi"/>
            </w:rPr>
          </w:pPr>
          <w:hyperlink w:anchor="_Toc496624729" w:history="1">
            <w:r w:rsidR="002267D8" w:rsidRPr="002267D8">
              <w:rPr>
                <w:rStyle w:val="Hyperlink"/>
                <w:rFonts w:asciiTheme="majorHAnsi" w:hAnsiTheme="majorHAnsi" w:cstheme="majorHAnsi"/>
              </w:rPr>
              <w:t>8.0</w:t>
            </w:r>
            <w:r w:rsidR="002267D8" w:rsidRPr="002267D8">
              <w:rPr>
                <w:rFonts w:asciiTheme="majorHAnsi" w:eastAsiaTheme="minorEastAsia" w:hAnsiTheme="majorHAnsi" w:cstheme="majorHAnsi"/>
              </w:rPr>
              <w:tab/>
            </w:r>
            <w:r w:rsidR="002267D8" w:rsidRPr="002267D8">
              <w:rPr>
                <w:rStyle w:val="Hyperlink"/>
                <w:rFonts w:asciiTheme="majorHAnsi" w:hAnsiTheme="majorHAnsi" w:cstheme="majorHAnsi"/>
              </w:rPr>
              <w:t>Financial Analysis of Selected Option</w:t>
            </w:r>
            <w:r w:rsidR="002267D8" w:rsidRPr="002267D8">
              <w:rPr>
                <w:rFonts w:asciiTheme="majorHAnsi" w:hAnsiTheme="majorHAnsi" w:cstheme="majorHAnsi"/>
                <w:webHidden/>
              </w:rPr>
              <w:tab/>
            </w:r>
            <w:r w:rsidR="002267D8" w:rsidRPr="002267D8">
              <w:rPr>
                <w:rFonts w:asciiTheme="majorHAnsi" w:hAnsiTheme="majorHAnsi" w:cstheme="majorHAnsi"/>
                <w:webHidden/>
              </w:rPr>
              <w:fldChar w:fldCharType="begin"/>
            </w:r>
            <w:r w:rsidR="002267D8" w:rsidRPr="002267D8">
              <w:rPr>
                <w:rFonts w:asciiTheme="majorHAnsi" w:hAnsiTheme="majorHAnsi" w:cstheme="majorHAnsi"/>
                <w:webHidden/>
              </w:rPr>
              <w:instrText xml:space="preserve"> PAGEREF _Toc496624729 \h </w:instrText>
            </w:r>
            <w:r w:rsidR="002267D8" w:rsidRPr="002267D8">
              <w:rPr>
                <w:rFonts w:asciiTheme="majorHAnsi" w:hAnsiTheme="majorHAnsi" w:cstheme="majorHAnsi"/>
                <w:webHidden/>
              </w:rPr>
            </w:r>
            <w:r w:rsidR="002267D8" w:rsidRPr="002267D8">
              <w:rPr>
                <w:rFonts w:asciiTheme="majorHAnsi" w:hAnsiTheme="majorHAnsi" w:cstheme="majorHAnsi"/>
                <w:webHidden/>
              </w:rPr>
              <w:fldChar w:fldCharType="separate"/>
            </w:r>
            <w:r w:rsidR="002267D8" w:rsidRPr="002267D8">
              <w:rPr>
                <w:rFonts w:asciiTheme="majorHAnsi" w:hAnsiTheme="majorHAnsi" w:cstheme="majorHAnsi"/>
                <w:webHidden/>
              </w:rPr>
              <w:t>8.1</w:t>
            </w:r>
            <w:r w:rsidR="002267D8" w:rsidRPr="002267D8">
              <w:rPr>
                <w:rFonts w:asciiTheme="majorHAnsi" w:hAnsiTheme="majorHAnsi" w:cstheme="majorHAnsi"/>
                <w:webHidden/>
              </w:rPr>
              <w:fldChar w:fldCharType="end"/>
            </w:r>
          </w:hyperlink>
        </w:p>
        <w:p w14:paraId="3EC64C48" w14:textId="77777777" w:rsidR="002267D8" w:rsidRDefault="00D2187A">
          <w:pPr>
            <w:pStyle w:val="TOC9"/>
            <w:rPr>
              <w:rFonts w:asciiTheme="minorHAnsi" w:eastAsiaTheme="minorEastAsia" w:hAnsiTheme="minorHAnsi" w:cstheme="minorBidi"/>
            </w:rPr>
          </w:pPr>
          <w:hyperlink w:anchor="_Toc496624730" w:history="1">
            <w:r w:rsidR="002267D8" w:rsidRPr="002267D8">
              <w:rPr>
                <w:rStyle w:val="Hyperlink"/>
                <w:rFonts w:asciiTheme="majorHAnsi" w:hAnsiTheme="majorHAnsi" w:cstheme="majorHAnsi"/>
              </w:rPr>
              <w:t>Appendix A – Future Business Case Requirements Outline</w:t>
            </w:r>
            <w:r w:rsidR="002267D8" w:rsidRPr="002267D8">
              <w:rPr>
                <w:rFonts w:asciiTheme="majorHAnsi" w:hAnsiTheme="majorHAnsi" w:cstheme="majorHAnsi"/>
                <w:webHidden/>
              </w:rPr>
              <w:tab/>
            </w:r>
            <w:r w:rsidR="002267D8" w:rsidRPr="002267D8">
              <w:rPr>
                <w:rFonts w:asciiTheme="majorHAnsi" w:hAnsiTheme="majorHAnsi" w:cstheme="majorHAnsi"/>
                <w:webHidden/>
              </w:rPr>
              <w:fldChar w:fldCharType="begin"/>
            </w:r>
            <w:r w:rsidR="002267D8" w:rsidRPr="002267D8">
              <w:rPr>
                <w:rFonts w:asciiTheme="majorHAnsi" w:hAnsiTheme="majorHAnsi" w:cstheme="majorHAnsi"/>
                <w:webHidden/>
              </w:rPr>
              <w:instrText xml:space="preserve"> PAGEREF _Toc496624730 \h </w:instrText>
            </w:r>
            <w:r w:rsidR="002267D8" w:rsidRPr="002267D8">
              <w:rPr>
                <w:rFonts w:asciiTheme="majorHAnsi" w:hAnsiTheme="majorHAnsi" w:cstheme="majorHAnsi"/>
                <w:webHidden/>
              </w:rPr>
            </w:r>
            <w:r w:rsidR="002267D8" w:rsidRPr="002267D8">
              <w:rPr>
                <w:rFonts w:asciiTheme="majorHAnsi" w:hAnsiTheme="majorHAnsi" w:cstheme="majorHAnsi"/>
                <w:webHidden/>
              </w:rPr>
              <w:fldChar w:fldCharType="separate"/>
            </w:r>
            <w:r w:rsidR="002267D8" w:rsidRPr="002267D8">
              <w:rPr>
                <w:rFonts w:asciiTheme="majorHAnsi" w:hAnsiTheme="majorHAnsi" w:cstheme="majorHAnsi"/>
                <w:webHidden/>
              </w:rPr>
              <w:t>A.1</w:t>
            </w:r>
            <w:r w:rsidR="002267D8" w:rsidRPr="002267D8">
              <w:rPr>
                <w:rFonts w:asciiTheme="majorHAnsi" w:hAnsiTheme="majorHAnsi" w:cstheme="majorHAnsi"/>
                <w:webHidden/>
              </w:rPr>
              <w:fldChar w:fldCharType="end"/>
            </w:r>
          </w:hyperlink>
        </w:p>
        <w:p w14:paraId="3E7C7601" w14:textId="77777777" w:rsidR="000E2E38" w:rsidRPr="00F87603" w:rsidRDefault="00FC19A7">
          <w:pPr>
            <w:rPr>
              <w:rFonts w:asciiTheme="majorHAnsi" w:hAnsiTheme="majorHAnsi" w:cstheme="majorHAnsi"/>
            </w:rPr>
          </w:pPr>
          <w:r w:rsidRPr="00F87603">
            <w:rPr>
              <w:rFonts w:asciiTheme="majorHAnsi" w:hAnsiTheme="majorHAnsi" w:cstheme="majorHAnsi"/>
              <w:noProof/>
            </w:rPr>
            <w:fldChar w:fldCharType="end"/>
          </w:r>
        </w:p>
      </w:sdtContent>
    </w:sdt>
    <w:p w14:paraId="47C7CB8C" w14:textId="77777777" w:rsidR="00E12AF4" w:rsidRPr="00F87603" w:rsidRDefault="00E12AF4" w:rsidP="002C625F">
      <w:pPr>
        <w:pStyle w:val="TOC1"/>
        <w:rPr>
          <w:rFonts w:asciiTheme="majorHAnsi" w:hAnsiTheme="majorHAnsi" w:cstheme="majorHAnsi"/>
        </w:rPr>
      </w:pPr>
    </w:p>
    <w:p w14:paraId="56D882C3" w14:textId="77777777" w:rsidR="00E12AF4" w:rsidRPr="00F87603" w:rsidRDefault="00E12AF4" w:rsidP="004023E7">
      <w:pPr>
        <w:pStyle w:val="HeadingFrontNoTOC"/>
        <w:rPr>
          <w:rFonts w:asciiTheme="majorHAnsi" w:hAnsiTheme="majorHAnsi" w:cstheme="majorHAnsi"/>
        </w:rPr>
      </w:pPr>
      <w:r w:rsidRPr="00F87603">
        <w:rPr>
          <w:rFonts w:asciiTheme="majorHAnsi" w:hAnsiTheme="majorHAnsi" w:cstheme="majorHAnsi"/>
        </w:rPr>
        <w:br w:type="page"/>
      </w:r>
      <w:r w:rsidRPr="00F87603">
        <w:rPr>
          <w:rFonts w:asciiTheme="majorHAnsi" w:hAnsiTheme="majorHAnsi" w:cstheme="majorHAnsi"/>
        </w:rPr>
        <w:lastRenderedPageBreak/>
        <w:t>Figures</w:t>
      </w:r>
    </w:p>
    <w:p w14:paraId="11FD867F" w14:textId="7F20048B" w:rsidR="00523721" w:rsidRDefault="006672B7">
      <w:pPr>
        <w:pStyle w:val="TableofFigures"/>
        <w:rPr>
          <w:rFonts w:asciiTheme="minorHAnsi" w:eastAsiaTheme="minorEastAsia" w:hAnsiTheme="minorHAnsi" w:cstheme="minorBidi"/>
        </w:rPr>
      </w:pPr>
      <w:r>
        <w:rPr>
          <w:rFonts w:asciiTheme="majorHAnsi" w:hAnsiTheme="majorHAnsi" w:cstheme="majorHAnsi"/>
          <w:noProof w:val="0"/>
        </w:rPr>
        <w:fldChar w:fldCharType="begin"/>
      </w:r>
      <w:r>
        <w:rPr>
          <w:rFonts w:asciiTheme="majorHAnsi" w:hAnsiTheme="majorHAnsi" w:cstheme="majorHAnsi"/>
          <w:noProof w:val="0"/>
        </w:rPr>
        <w:instrText xml:space="preserve"> TOC \h \z \t "Figure" \c </w:instrText>
      </w:r>
      <w:r>
        <w:rPr>
          <w:rFonts w:asciiTheme="majorHAnsi" w:hAnsiTheme="majorHAnsi" w:cstheme="majorHAnsi"/>
          <w:noProof w:val="0"/>
        </w:rPr>
        <w:fldChar w:fldCharType="separate"/>
      </w:r>
      <w:hyperlink w:anchor="_Toc496624262" w:history="1">
        <w:r w:rsidR="00523721" w:rsidRPr="00824FCB">
          <w:rPr>
            <w:rStyle w:val="Hyperlink"/>
            <w:b/>
          </w:rPr>
          <w:t xml:space="preserve">Figure 2-1: </w:t>
        </w:r>
        <w:r w:rsidR="00523721">
          <w:rPr>
            <w:rStyle w:val="Hyperlink"/>
          </w:rPr>
          <w:t>Regional map of Shungnak</w:t>
        </w:r>
        <w:r w:rsidR="00523721">
          <w:rPr>
            <w:webHidden/>
          </w:rPr>
          <w:tab/>
        </w:r>
        <w:r w:rsidR="00523721">
          <w:rPr>
            <w:webHidden/>
          </w:rPr>
          <w:fldChar w:fldCharType="begin"/>
        </w:r>
        <w:r w:rsidR="00523721">
          <w:rPr>
            <w:webHidden/>
          </w:rPr>
          <w:instrText xml:space="preserve"> PAGEREF _Toc496624262 \h </w:instrText>
        </w:r>
        <w:r w:rsidR="00523721">
          <w:rPr>
            <w:webHidden/>
          </w:rPr>
        </w:r>
        <w:r w:rsidR="00523721">
          <w:rPr>
            <w:webHidden/>
          </w:rPr>
          <w:fldChar w:fldCharType="separate"/>
        </w:r>
        <w:r w:rsidR="00523721">
          <w:rPr>
            <w:webHidden/>
          </w:rPr>
          <w:t>2.2</w:t>
        </w:r>
        <w:r w:rsidR="00523721">
          <w:rPr>
            <w:webHidden/>
          </w:rPr>
          <w:fldChar w:fldCharType="end"/>
        </w:r>
      </w:hyperlink>
    </w:p>
    <w:p w14:paraId="461D6484" w14:textId="77777777" w:rsidR="00523721" w:rsidRDefault="00D2187A">
      <w:pPr>
        <w:pStyle w:val="TableofFigures"/>
        <w:rPr>
          <w:rFonts w:asciiTheme="minorHAnsi" w:eastAsiaTheme="minorEastAsia" w:hAnsiTheme="minorHAnsi" w:cstheme="minorBidi"/>
        </w:rPr>
      </w:pPr>
      <w:hyperlink w:anchor="_Toc496624263" w:history="1">
        <w:r w:rsidR="00523721" w:rsidRPr="00824FCB">
          <w:rPr>
            <w:rStyle w:val="Hyperlink"/>
            <w:b/>
          </w:rPr>
          <w:t>Figure 4-1:</w:t>
        </w:r>
        <w:r w:rsidR="00523721" w:rsidRPr="00824FCB">
          <w:rPr>
            <w:rStyle w:val="Hyperlink"/>
          </w:rPr>
          <w:t xml:space="preserve"> Project schematic of the mini-grid retrofit to be implemented</w:t>
        </w:r>
        <w:r w:rsidR="00523721">
          <w:rPr>
            <w:webHidden/>
          </w:rPr>
          <w:tab/>
        </w:r>
        <w:r w:rsidR="00523721">
          <w:rPr>
            <w:webHidden/>
          </w:rPr>
          <w:fldChar w:fldCharType="begin"/>
        </w:r>
        <w:r w:rsidR="00523721">
          <w:rPr>
            <w:webHidden/>
          </w:rPr>
          <w:instrText xml:space="preserve"> PAGEREF _Toc496624263 \h </w:instrText>
        </w:r>
        <w:r w:rsidR="00523721">
          <w:rPr>
            <w:webHidden/>
          </w:rPr>
        </w:r>
        <w:r w:rsidR="00523721">
          <w:rPr>
            <w:webHidden/>
          </w:rPr>
          <w:fldChar w:fldCharType="separate"/>
        </w:r>
        <w:r w:rsidR="00523721">
          <w:rPr>
            <w:webHidden/>
          </w:rPr>
          <w:t>4.1</w:t>
        </w:r>
        <w:r w:rsidR="00523721">
          <w:rPr>
            <w:webHidden/>
          </w:rPr>
          <w:fldChar w:fldCharType="end"/>
        </w:r>
      </w:hyperlink>
    </w:p>
    <w:p w14:paraId="4B1D68ED" w14:textId="45F2AC4A" w:rsidR="00E12AF4" w:rsidRPr="00F87603" w:rsidRDefault="006672B7" w:rsidP="00A427B5">
      <w:pPr>
        <w:pStyle w:val="TableofFigures"/>
        <w:rPr>
          <w:rFonts w:asciiTheme="majorHAnsi" w:hAnsiTheme="majorHAnsi" w:cstheme="majorHAnsi"/>
        </w:rPr>
      </w:pPr>
      <w:r>
        <w:rPr>
          <w:rFonts w:asciiTheme="majorHAnsi" w:hAnsiTheme="majorHAnsi" w:cstheme="majorHAnsi"/>
          <w:noProof w:val="0"/>
        </w:rPr>
        <w:fldChar w:fldCharType="end"/>
      </w:r>
    </w:p>
    <w:p w14:paraId="424F3021" w14:textId="77777777" w:rsidR="00E12AF4" w:rsidRPr="00F87603" w:rsidRDefault="00E12AF4" w:rsidP="004023E7">
      <w:pPr>
        <w:pStyle w:val="HeadingFrontNoTOC"/>
        <w:rPr>
          <w:rFonts w:asciiTheme="majorHAnsi" w:hAnsiTheme="majorHAnsi" w:cstheme="majorHAnsi"/>
        </w:rPr>
      </w:pPr>
      <w:r w:rsidRPr="00F87603">
        <w:rPr>
          <w:rFonts w:asciiTheme="majorHAnsi" w:hAnsiTheme="majorHAnsi" w:cstheme="majorHAnsi"/>
        </w:rPr>
        <w:br w:type="page"/>
      </w:r>
      <w:r w:rsidRPr="00F87603">
        <w:rPr>
          <w:rFonts w:asciiTheme="majorHAnsi" w:hAnsiTheme="majorHAnsi" w:cstheme="majorHAnsi"/>
        </w:rPr>
        <w:lastRenderedPageBreak/>
        <w:t>Tables</w:t>
      </w:r>
    </w:p>
    <w:p w14:paraId="77CB4C21" w14:textId="77777777" w:rsidR="00523721" w:rsidRDefault="00C2107A">
      <w:pPr>
        <w:pStyle w:val="TableofFigures"/>
        <w:rPr>
          <w:rFonts w:asciiTheme="minorHAnsi" w:eastAsiaTheme="minorEastAsia" w:hAnsiTheme="minorHAnsi" w:cstheme="minorBidi"/>
        </w:rPr>
      </w:pPr>
      <w:r>
        <w:rPr>
          <w:rFonts w:asciiTheme="majorHAnsi" w:hAnsiTheme="majorHAnsi" w:cstheme="majorHAnsi"/>
          <w:noProof w:val="0"/>
        </w:rPr>
        <w:fldChar w:fldCharType="begin"/>
      </w:r>
      <w:r>
        <w:rPr>
          <w:rFonts w:asciiTheme="majorHAnsi" w:hAnsiTheme="majorHAnsi" w:cstheme="majorHAnsi"/>
          <w:noProof w:val="0"/>
        </w:rPr>
        <w:instrText xml:space="preserve"> TOC \h \z \c "Table" </w:instrText>
      </w:r>
      <w:r>
        <w:rPr>
          <w:rFonts w:asciiTheme="majorHAnsi" w:hAnsiTheme="majorHAnsi" w:cstheme="majorHAnsi"/>
          <w:noProof w:val="0"/>
        </w:rPr>
        <w:fldChar w:fldCharType="separate"/>
      </w:r>
      <w:hyperlink w:anchor="_Toc496624240" w:history="1">
        <w:r w:rsidR="00523721" w:rsidRPr="00D7239C">
          <w:rPr>
            <w:rStyle w:val="Hyperlink"/>
            <w:b/>
          </w:rPr>
          <w:t>Table 2</w:t>
        </w:r>
        <w:r w:rsidR="00523721" w:rsidRPr="00D7239C">
          <w:rPr>
            <w:rStyle w:val="Hyperlink"/>
            <w:b/>
          </w:rPr>
          <w:noBreakHyphen/>
          <w:t>1:</w:t>
        </w:r>
        <w:r w:rsidR="00523721" w:rsidRPr="00D7239C">
          <w:rPr>
            <w:rStyle w:val="Hyperlink"/>
          </w:rPr>
          <w:t xml:space="preserve"> PCE Statistics, 2012-2016</w:t>
        </w:r>
        <w:r w:rsidR="00523721">
          <w:rPr>
            <w:webHidden/>
          </w:rPr>
          <w:tab/>
        </w:r>
        <w:r w:rsidR="00523721">
          <w:rPr>
            <w:webHidden/>
          </w:rPr>
          <w:fldChar w:fldCharType="begin"/>
        </w:r>
        <w:r w:rsidR="00523721">
          <w:rPr>
            <w:webHidden/>
          </w:rPr>
          <w:instrText xml:space="preserve"> PAGEREF _Toc496624240 \h </w:instrText>
        </w:r>
        <w:r w:rsidR="00523721">
          <w:rPr>
            <w:webHidden/>
          </w:rPr>
        </w:r>
        <w:r w:rsidR="00523721">
          <w:rPr>
            <w:webHidden/>
          </w:rPr>
          <w:fldChar w:fldCharType="separate"/>
        </w:r>
        <w:r w:rsidR="00523721">
          <w:rPr>
            <w:webHidden/>
          </w:rPr>
          <w:t>2.2</w:t>
        </w:r>
        <w:r w:rsidR="00523721">
          <w:rPr>
            <w:webHidden/>
          </w:rPr>
          <w:fldChar w:fldCharType="end"/>
        </w:r>
      </w:hyperlink>
    </w:p>
    <w:p w14:paraId="4D348FFD" w14:textId="77777777" w:rsidR="00523721" w:rsidRDefault="00D2187A">
      <w:pPr>
        <w:pStyle w:val="TableofFigures"/>
        <w:rPr>
          <w:rFonts w:asciiTheme="minorHAnsi" w:eastAsiaTheme="minorEastAsia" w:hAnsiTheme="minorHAnsi" w:cstheme="minorBidi"/>
        </w:rPr>
      </w:pPr>
      <w:hyperlink w:anchor="_Toc496624241" w:history="1">
        <w:r w:rsidR="00523721" w:rsidRPr="00D7239C">
          <w:rPr>
            <w:rStyle w:val="Hyperlink"/>
            <w:b/>
          </w:rPr>
          <w:t>Table 4</w:t>
        </w:r>
        <w:r w:rsidR="00523721" w:rsidRPr="00D7239C">
          <w:rPr>
            <w:rStyle w:val="Hyperlink"/>
            <w:b/>
          </w:rPr>
          <w:noBreakHyphen/>
          <w:t>1:</w:t>
        </w:r>
        <w:r w:rsidR="00523721" w:rsidRPr="00D7239C">
          <w:rPr>
            <w:rStyle w:val="Hyperlink"/>
          </w:rPr>
          <w:t xml:space="preserve"> Resources and assumptions used in the analysis</w:t>
        </w:r>
        <w:r w:rsidR="00523721">
          <w:rPr>
            <w:webHidden/>
          </w:rPr>
          <w:tab/>
        </w:r>
        <w:r w:rsidR="00523721">
          <w:rPr>
            <w:webHidden/>
          </w:rPr>
          <w:fldChar w:fldCharType="begin"/>
        </w:r>
        <w:r w:rsidR="00523721">
          <w:rPr>
            <w:webHidden/>
          </w:rPr>
          <w:instrText xml:space="preserve"> PAGEREF _Toc496624241 \h </w:instrText>
        </w:r>
        <w:r w:rsidR="00523721">
          <w:rPr>
            <w:webHidden/>
          </w:rPr>
        </w:r>
        <w:r w:rsidR="00523721">
          <w:rPr>
            <w:webHidden/>
          </w:rPr>
          <w:fldChar w:fldCharType="separate"/>
        </w:r>
        <w:r w:rsidR="00523721">
          <w:rPr>
            <w:webHidden/>
          </w:rPr>
          <w:t>4.2</w:t>
        </w:r>
        <w:r w:rsidR="00523721">
          <w:rPr>
            <w:webHidden/>
          </w:rPr>
          <w:fldChar w:fldCharType="end"/>
        </w:r>
      </w:hyperlink>
    </w:p>
    <w:p w14:paraId="7484BC71" w14:textId="77777777" w:rsidR="00523721" w:rsidRDefault="00D2187A">
      <w:pPr>
        <w:pStyle w:val="TableofFigures"/>
        <w:rPr>
          <w:rFonts w:asciiTheme="minorHAnsi" w:eastAsiaTheme="minorEastAsia" w:hAnsiTheme="minorHAnsi" w:cstheme="minorBidi"/>
        </w:rPr>
      </w:pPr>
      <w:hyperlink w:anchor="_Toc496624242" w:history="1">
        <w:r w:rsidR="00523721" w:rsidRPr="00D7239C">
          <w:rPr>
            <w:rStyle w:val="Hyperlink"/>
            <w:b/>
          </w:rPr>
          <w:t>Table 4</w:t>
        </w:r>
        <w:r w:rsidR="00523721" w:rsidRPr="00D7239C">
          <w:rPr>
            <w:rStyle w:val="Hyperlink"/>
            <w:b/>
          </w:rPr>
          <w:noBreakHyphen/>
          <w:t>2:</w:t>
        </w:r>
        <w:r w:rsidR="00523721" w:rsidRPr="00D7239C">
          <w:rPr>
            <w:rStyle w:val="Hyperlink"/>
          </w:rPr>
          <w:t xml:space="preserve"> Battery statistics by size</w:t>
        </w:r>
        <w:r w:rsidR="00523721">
          <w:rPr>
            <w:webHidden/>
          </w:rPr>
          <w:tab/>
        </w:r>
        <w:r w:rsidR="00523721">
          <w:rPr>
            <w:webHidden/>
          </w:rPr>
          <w:fldChar w:fldCharType="begin"/>
        </w:r>
        <w:r w:rsidR="00523721">
          <w:rPr>
            <w:webHidden/>
          </w:rPr>
          <w:instrText xml:space="preserve"> PAGEREF _Toc496624242 \h </w:instrText>
        </w:r>
        <w:r w:rsidR="00523721">
          <w:rPr>
            <w:webHidden/>
          </w:rPr>
        </w:r>
        <w:r w:rsidR="00523721">
          <w:rPr>
            <w:webHidden/>
          </w:rPr>
          <w:fldChar w:fldCharType="separate"/>
        </w:r>
        <w:r w:rsidR="00523721">
          <w:rPr>
            <w:webHidden/>
          </w:rPr>
          <w:t>4.3</w:t>
        </w:r>
        <w:r w:rsidR="00523721">
          <w:rPr>
            <w:webHidden/>
          </w:rPr>
          <w:fldChar w:fldCharType="end"/>
        </w:r>
      </w:hyperlink>
    </w:p>
    <w:p w14:paraId="233E2B98" w14:textId="77777777" w:rsidR="00523721" w:rsidRDefault="00D2187A">
      <w:pPr>
        <w:pStyle w:val="TableofFigures"/>
        <w:rPr>
          <w:rFonts w:asciiTheme="minorHAnsi" w:eastAsiaTheme="minorEastAsia" w:hAnsiTheme="minorHAnsi" w:cstheme="minorBidi"/>
        </w:rPr>
      </w:pPr>
      <w:hyperlink w:anchor="_Toc496624243" w:history="1">
        <w:r w:rsidR="00523721" w:rsidRPr="00D7239C">
          <w:rPr>
            <w:rStyle w:val="Hyperlink"/>
            <w:b/>
          </w:rPr>
          <w:t>Table 5</w:t>
        </w:r>
        <w:r w:rsidR="00523721" w:rsidRPr="00D7239C">
          <w:rPr>
            <w:rStyle w:val="Hyperlink"/>
            <w:b/>
          </w:rPr>
          <w:noBreakHyphen/>
          <w:t>1:</w:t>
        </w:r>
        <w:r w:rsidR="00523721" w:rsidRPr="00D7239C">
          <w:rPr>
            <w:rStyle w:val="Hyperlink"/>
          </w:rPr>
          <w:t xml:space="preserve"> Annual heating and diesel fuel expenditures in the Baseline and Optimal cases*</w:t>
        </w:r>
        <w:r w:rsidR="00523721">
          <w:rPr>
            <w:webHidden/>
          </w:rPr>
          <w:tab/>
        </w:r>
        <w:r w:rsidR="00523721">
          <w:rPr>
            <w:webHidden/>
          </w:rPr>
          <w:fldChar w:fldCharType="begin"/>
        </w:r>
        <w:r w:rsidR="00523721">
          <w:rPr>
            <w:webHidden/>
          </w:rPr>
          <w:instrText xml:space="preserve"> PAGEREF _Toc496624243 \h </w:instrText>
        </w:r>
        <w:r w:rsidR="00523721">
          <w:rPr>
            <w:webHidden/>
          </w:rPr>
        </w:r>
        <w:r w:rsidR="00523721">
          <w:rPr>
            <w:webHidden/>
          </w:rPr>
          <w:fldChar w:fldCharType="separate"/>
        </w:r>
        <w:r w:rsidR="00523721">
          <w:rPr>
            <w:webHidden/>
          </w:rPr>
          <w:t>5.1</w:t>
        </w:r>
        <w:r w:rsidR="00523721">
          <w:rPr>
            <w:webHidden/>
          </w:rPr>
          <w:fldChar w:fldCharType="end"/>
        </w:r>
      </w:hyperlink>
    </w:p>
    <w:p w14:paraId="231B3977" w14:textId="77777777" w:rsidR="00523721" w:rsidRDefault="00D2187A">
      <w:pPr>
        <w:pStyle w:val="TableofFigures"/>
        <w:rPr>
          <w:rFonts w:asciiTheme="minorHAnsi" w:eastAsiaTheme="minorEastAsia" w:hAnsiTheme="minorHAnsi" w:cstheme="minorBidi"/>
        </w:rPr>
      </w:pPr>
      <w:hyperlink w:anchor="_Toc496624244" w:history="1">
        <w:r w:rsidR="00523721" w:rsidRPr="00D7239C">
          <w:rPr>
            <w:rStyle w:val="Hyperlink"/>
            <w:b/>
          </w:rPr>
          <w:t>Table 8</w:t>
        </w:r>
        <w:r w:rsidR="00523721" w:rsidRPr="00D7239C">
          <w:rPr>
            <w:rStyle w:val="Hyperlink"/>
            <w:b/>
          </w:rPr>
          <w:noBreakHyphen/>
          <w:t xml:space="preserve">1: </w:t>
        </w:r>
        <w:r w:rsidR="00523721" w:rsidRPr="00D7239C">
          <w:rPr>
            <w:rStyle w:val="Hyperlink"/>
          </w:rPr>
          <w:t>Marginal price of village utility and ESCO options</w:t>
        </w:r>
        <w:r w:rsidR="00523721">
          <w:rPr>
            <w:webHidden/>
          </w:rPr>
          <w:tab/>
        </w:r>
        <w:r w:rsidR="00523721">
          <w:rPr>
            <w:webHidden/>
          </w:rPr>
          <w:fldChar w:fldCharType="begin"/>
        </w:r>
        <w:r w:rsidR="00523721">
          <w:rPr>
            <w:webHidden/>
          </w:rPr>
          <w:instrText xml:space="preserve"> PAGEREF _Toc496624244 \h </w:instrText>
        </w:r>
        <w:r w:rsidR="00523721">
          <w:rPr>
            <w:webHidden/>
          </w:rPr>
        </w:r>
        <w:r w:rsidR="00523721">
          <w:rPr>
            <w:webHidden/>
          </w:rPr>
          <w:fldChar w:fldCharType="separate"/>
        </w:r>
        <w:r w:rsidR="00523721">
          <w:rPr>
            <w:webHidden/>
          </w:rPr>
          <w:t>8.3</w:t>
        </w:r>
        <w:r w:rsidR="00523721">
          <w:rPr>
            <w:webHidden/>
          </w:rPr>
          <w:fldChar w:fldCharType="end"/>
        </w:r>
      </w:hyperlink>
    </w:p>
    <w:p w14:paraId="66785C80" w14:textId="6A6F9B78" w:rsidR="00523721" w:rsidRDefault="00D2187A">
      <w:pPr>
        <w:pStyle w:val="TableofFigures"/>
        <w:rPr>
          <w:rFonts w:asciiTheme="minorHAnsi" w:eastAsiaTheme="minorEastAsia" w:hAnsiTheme="minorHAnsi" w:cstheme="minorBidi"/>
        </w:rPr>
      </w:pPr>
      <w:hyperlink w:anchor="_Toc496624245" w:history="1">
        <w:r w:rsidR="00523721" w:rsidRPr="00D7239C">
          <w:rPr>
            <w:rStyle w:val="Hyperlink"/>
            <w:b/>
          </w:rPr>
          <w:t>Table 8</w:t>
        </w:r>
        <w:r w:rsidR="00523721" w:rsidRPr="00D7239C">
          <w:rPr>
            <w:rStyle w:val="Hyperlink"/>
            <w:b/>
          </w:rPr>
          <w:noBreakHyphen/>
          <w:t>2:</w:t>
        </w:r>
        <w:r w:rsidR="00523721" w:rsidRPr="00D7239C">
          <w:rPr>
            <w:rStyle w:val="Hyperlink"/>
          </w:rPr>
          <w:t xml:space="preserve"> Sources and uses of funds</w:t>
        </w:r>
        <w:r w:rsidR="00523721">
          <w:rPr>
            <w:webHidden/>
          </w:rPr>
          <w:tab/>
        </w:r>
        <w:r w:rsidR="00523721">
          <w:rPr>
            <w:webHidden/>
          </w:rPr>
          <w:fldChar w:fldCharType="begin"/>
        </w:r>
        <w:r w:rsidR="00523721">
          <w:rPr>
            <w:webHidden/>
          </w:rPr>
          <w:instrText xml:space="preserve"> PAGEREF _Toc496624245 \h </w:instrText>
        </w:r>
        <w:r w:rsidR="00523721">
          <w:rPr>
            <w:webHidden/>
          </w:rPr>
        </w:r>
        <w:r w:rsidR="00523721">
          <w:rPr>
            <w:webHidden/>
          </w:rPr>
          <w:fldChar w:fldCharType="separate"/>
        </w:r>
        <w:r w:rsidR="00523721">
          <w:rPr>
            <w:webHidden/>
          </w:rPr>
          <w:t>8.1</w:t>
        </w:r>
        <w:r w:rsidR="00523721">
          <w:rPr>
            <w:webHidden/>
          </w:rPr>
          <w:fldChar w:fldCharType="end"/>
        </w:r>
      </w:hyperlink>
    </w:p>
    <w:p w14:paraId="32818546" w14:textId="77777777" w:rsidR="00523721" w:rsidRDefault="00D2187A">
      <w:pPr>
        <w:pStyle w:val="TableofFigures"/>
        <w:rPr>
          <w:rFonts w:asciiTheme="minorHAnsi" w:eastAsiaTheme="minorEastAsia" w:hAnsiTheme="minorHAnsi" w:cstheme="minorBidi"/>
        </w:rPr>
      </w:pPr>
      <w:hyperlink w:anchor="_Toc496624246" w:history="1">
        <w:r w:rsidR="00523721" w:rsidRPr="00D7239C">
          <w:rPr>
            <w:rStyle w:val="Hyperlink"/>
            <w:b/>
          </w:rPr>
          <w:t>Table 8</w:t>
        </w:r>
        <w:r w:rsidR="00523721" w:rsidRPr="00D7239C">
          <w:rPr>
            <w:rStyle w:val="Hyperlink"/>
            <w:b/>
          </w:rPr>
          <w:noBreakHyphen/>
          <w:t>3:</w:t>
        </w:r>
        <w:r w:rsidR="00523721" w:rsidRPr="00D7239C">
          <w:rPr>
            <w:rStyle w:val="Hyperlink"/>
          </w:rPr>
          <w:t xml:space="preserve"> Income statement of project</w:t>
        </w:r>
        <w:r w:rsidR="00523721">
          <w:rPr>
            <w:webHidden/>
          </w:rPr>
          <w:tab/>
        </w:r>
        <w:r w:rsidR="00523721">
          <w:rPr>
            <w:webHidden/>
          </w:rPr>
          <w:fldChar w:fldCharType="begin"/>
        </w:r>
        <w:r w:rsidR="00523721">
          <w:rPr>
            <w:webHidden/>
          </w:rPr>
          <w:instrText xml:space="preserve"> PAGEREF _Toc496624246 \h </w:instrText>
        </w:r>
        <w:r w:rsidR="00523721">
          <w:rPr>
            <w:webHidden/>
          </w:rPr>
        </w:r>
        <w:r w:rsidR="00523721">
          <w:rPr>
            <w:webHidden/>
          </w:rPr>
          <w:fldChar w:fldCharType="separate"/>
        </w:r>
        <w:r w:rsidR="00523721">
          <w:rPr>
            <w:webHidden/>
          </w:rPr>
          <w:t>8.2</w:t>
        </w:r>
        <w:r w:rsidR="00523721">
          <w:rPr>
            <w:webHidden/>
          </w:rPr>
          <w:fldChar w:fldCharType="end"/>
        </w:r>
      </w:hyperlink>
    </w:p>
    <w:p w14:paraId="2DE2A20D" w14:textId="56AC4720" w:rsidR="00523721" w:rsidRDefault="00D2187A">
      <w:pPr>
        <w:pStyle w:val="TableofFigures"/>
        <w:rPr>
          <w:rFonts w:asciiTheme="minorHAnsi" w:eastAsiaTheme="minorEastAsia" w:hAnsiTheme="minorHAnsi" w:cstheme="minorBidi"/>
        </w:rPr>
      </w:pPr>
      <w:hyperlink w:anchor="_Toc496624247" w:history="1">
        <w:r w:rsidR="00523721" w:rsidRPr="00D7239C">
          <w:rPr>
            <w:rStyle w:val="Hyperlink"/>
            <w:b/>
          </w:rPr>
          <w:t>Table 8</w:t>
        </w:r>
        <w:r w:rsidR="00523721" w:rsidRPr="00D7239C">
          <w:rPr>
            <w:rStyle w:val="Hyperlink"/>
            <w:b/>
          </w:rPr>
          <w:noBreakHyphen/>
          <w:t>4:</w:t>
        </w:r>
        <w:r w:rsidR="00523721" w:rsidRPr="00D7239C">
          <w:rPr>
            <w:rStyle w:val="Hyperlink"/>
          </w:rPr>
          <w:t xml:space="preserve"> Cash flow statement for project based on 4% rate of internal return</w:t>
        </w:r>
        <w:r w:rsidR="00523721">
          <w:rPr>
            <w:webHidden/>
          </w:rPr>
          <w:tab/>
        </w:r>
        <w:r w:rsidR="00523721">
          <w:rPr>
            <w:webHidden/>
          </w:rPr>
          <w:fldChar w:fldCharType="begin"/>
        </w:r>
        <w:r w:rsidR="00523721">
          <w:rPr>
            <w:webHidden/>
          </w:rPr>
          <w:instrText xml:space="preserve"> PAGEREF _Toc496624247 \h </w:instrText>
        </w:r>
        <w:r w:rsidR="00523721">
          <w:rPr>
            <w:webHidden/>
          </w:rPr>
        </w:r>
        <w:r w:rsidR="00523721">
          <w:rPr>
            <w:webHidden/>
          </w:rPr>
          <w:fldChar w:fldCharType="separate"/>
        </w:r>
        <w:r w:rsidR="00523721">
          <w:rPr>
            <w:webHidden/>
          </w:rPr>
          <w:t>8.3</w:t>
        </w:r>
        <w:r w:rsidR="00523721">
          <w:rPr>
            <w:webHidden/>
          </w:rPr>
          <w:fldChar w:fldCharType="end"/>
        </w:r>
      </w:hyperlink>
    </w:p>
    <w:p w14:paraId="72F62845" w14:textId="1A401A64" w:rsidR="00E12AF4" w:rsidRPr="00F87603" w:rsidRDefault="00C2107A" w:rsidP="00A427B5">
      <w:pPr>
        <w:pStyle w:val="TableofFigures"/>
        <w:rPr>
          <w:rFonts w:asciiTheme="majorHAnsi" w:hAnsiTheme="majorHAnsi" w:cstheme="majorHAnsi"/>
        </w:rPr>
      </w:pPr>
      <w:r>
        <w:rPr>
          <w:rFonts w:asciiTheme="majorHAnsi" w:hAnsiTheme="majorHAnsi" w:cstheme="majorHAnsi"/>
          <w:noProof w:val="0"/>
        </w:rPr>
        <w:fldChar w:fldCharType="end"/>
      </w:r>
    </w:p>
    <w:p w14:paraId="6873C770" w14:textId="77777777" w:rsidR="00E12AF4" w:rsidRPr="00F87603" w:rsidRDefault="00E12AF4" w:rsidP="00E12AF4">
      <w:pPr>
        <w:tabs>
          <w:tab w:val="clear" w:pos="360"/>
          <w:tab w:val="clear" w:pos="720"/>
          <w:tab w:val="clear" w:pos="1080"/>
          <w:tab w:val="left" w:pos="461"/>
          <w:tab w:val="left" w:pos="922"/>
          <w:tab w:val="left" w:pos="1526"/>
          <w:tab w:val="left" w:pos="2304"/>
          <w:tab w:val="left" w:leader="dot" w:pos="8640"/>
          <w:tab w:val="decimal" w:pos="9000"/>
        </w:tabs>
        <w:rPr>
          <w:rFonts w:asciiTheme="majorHAnsi" w:hAnsiTheme="majorHAnsi" w:cstheme="majorHAnsi"/>
        </w:rPr>
      </w:pPr>
    </w:p>
    <w:p w14:paraId="3CB714F0" w14:textId="77777777" w:rsidR="00E12AF4" w:rsidRPr="00F87603" w:rsidRDefault="00E12AF4" w:rsidP="00F33350">
      <w:pPr>
        <w:pStyle w:val="Heading1"/>
        <w:rPr>
          <w:rFonts w:asciiTheme="majorHAnsi" w:hAnsiTheme="majorHAnsi" w:cstheme="majorHAnsi"/>
        </w:rPr>
        <w:sectPr w:rsidR="00E12AF4" w:rsidRPr="00F87603" w:rsidSect="00482B31">
          <w:footnotePr>
            <w:numRestart w:val="eachPage"/>
          </w:footnotePr>
          <w:type w:val="oddPage"/>
          <w:pgSz w:w="12240" w:h="15840" w:code="1"/>
          <w:pgMar w:top="1440" w:right="1440" w:bottom="1440" w:left="1440" w:header="720" w:footer="720" w:gutter="0"/>
          <w:pgNumType w:fmt="lowerRoman" w:chapSep="period"/>
          <w:cols w:space="720"/>
        </w:sectPr>
      </w:pPr>
    </w:p>
    <w:p w14:paraId="56AB21B0" w14:textId="77777777" w:rsidR="00E12AF4" w:rsidRDefault="00552227" w:rsidP="0048274B">
      <w:pPr>
        <w:pStyle w:val="Heading1"/>
        <w:rPr>
          <w:rFonts w:asciiTheme="majorHAnsi" w:hAnsiTheme="majorHAnsi" w:cstheme="majorHAnsi"/>
        </w:rPr>
      </w:pPr>
      <w:bookmarkStart w:id="9" w:name="_Toc496624720"/>
      <w:r w:rsidRPr="00F87603">
        <w:rPr>
          <w:rFonts w:asciiTheme="majorHAnsi" w:hAnsiTheme="majorHAnsi" w:cstheme="majorHAnsi"/>
        </w:rPr>
        <w:lastRenderedPageBreak/>
        <w:t>Introduction</w:t>
      </w:r>
      <w:bookmarkEnd w:id="9"/>
    </w:p>
    <w:p w14:paraId="3778BFC8" w14:textId="4719E465" w:rsidR="009707B0" w:rsidRDefault="00CF14FD" w:rsidP="009707B0">
      <w:pPr>
        <w:pStyle w:val="BodyText"/>
      </w:pPr>
      <w:r w:rsidRPr="000804A5">
        <w:t xml:space="preserve">As part of the Alaska </w:t>
      </w:r>
      <w:r>
        <w:t>Mini-grid</w:t>
      </w:r>
      <w:r w:rsidRPr="000804A5">
        <w:t xml:space="preserve"> Project (AMP)</w:t>
      </w:r>
      <w:r>
        <w:t>,</w:t>
      </w:r>
      <w:r w:rsidRPr="000804A5">
        <w:t xml:space="preserve"> the </w:t>
      </w:r>
      <w:r w:rsidR="00973B9A">
        <w:t>Sandia National Laboratory</w:t>
      </w:r>
      <w:r w:rsidRPr="000804A5">
        <w:t xml:space="preserve"> conducted an analysis of potential renewable energy (RE) retrofit options for the </w:t>
      </w:r>
      <w:r w:rsidR="00973B9A">
        <w:t>Shungnak</w:t>
      </w:r>
      <w:r w:rsidRPr="000804A5">
        <w:t xml:space="preserve"> diesel mini-grid</w:t>
      </w:r>
      <w:r>
        <w:t>.</w:t>
      </w:r>
      <w:r w:rsidR="00BD5CD2">
        <w:t xml:space="preserve"> </w:t>
      </w:r>
      <w:r w:rsidR="009707B0">
        <w:t xml:space="preserve">This paper provides the business case for the optimal solution undertaken by the technical team reviewing potential options for </w:t>
      </w:r>
      <w:r w:rsidR="00973B9A">
        <w:t>Shungnak</w:t>
      </w:r>
      <w:r w:rsidR="009707B0">
        <w:t>.</w:t>
      </w:r>
      <w:r w:rsidR="00BD5CD2">
        <w:t xml:space="preserve"> </w:t>
      </w:r>
      <w:r w:rsidR="00973B9A">
        <w:t>The Microgrid Design Toolkit (MDT)</w:t>
      </w:r>
      <w:r w:rsidR="009707B0">
        <w:t xml:space="preserve">, a mini-grid analysis software package developed by the </w:t>
      </w:r>
      <w:r w:rsidR="00973B9A">
        <w:t>Sandia National</w:t>
      </w:r>
      <w:r w:rsidR="009707B0">
        <w:t xml:space="preserve"> Laboratory was used to evaluate options that </w:t>
      </w:r>
      <w:r w:rsidR="00973B9A">
        <w:t>maximized</w:t>
      </w:r>
      <w:r w:rsidR="009707B0">
        <w:t xml:space="preserve"> the net present </w:t>
      </w:r>
      <w:r w:rsidR="00973B9A">
        <w:t>value</w:t>
      </w:r>
      <w:r w:rsidR="009707B0">
        <w:t xml:space="preserve"> to the village and its utility. The options were compared to the net present </w:t>
      </w:r>
      <w:r w:rsidR="00973B9A">
        <w:t>value</w:t>
      </w:r>
      <w:r w:rsidR="009707B0">
        <w:t xml:space="preserve"> of current diesel generation and the thermal load of the village. The options evaluated included combinations of solar, wind, batteries, and electric thermal stoves to use renewable electricity that would otherwise be spilled. Electric thermal stoves </w:t>
      </w:r>
      <w:r w:rsidR="00973B9A">
        <w:t>convert</w:t>
      </w:r>
      <w:r w:rsidR="009707B0">
        <w:t xml:space="preserve"> excess renewable energy to</w:t>
      </w:r>
      <w:r w:rsidR="00973B9A">
        <w:t xml:space="preserve"> residential heat</w:t>
      </w:r>
      <w:r w:rsidR="009707B0">
        <w:t xml:space="preserve"> when village electric demand is less than the renewable generation available.</w:t>
      </w:r>
      <w:r w:rsidR="00BD5CD2">
        <w:t xml:space="preserve"> </w:t>
      </w:r>
      <w:r w:rsidR="00A32892">
        <w:t>The highest net present value alternative became the basis for the business case analysis.</w:t>
      </w:r>
    </w:p>
    <w:p w14:paraId="27464592" w14:textId="49B5F413" w:rsidR="00CA4BA3" w:rsidRPr="00CA4BA3" w:rsidRDefault="00973B9A" w:rsidP="00CA4BA3">
      <w:pPr>
        <w:pStyle w:val="BodyText"/>
      </w:pPr>
      <w:r>
        <w:t>Shungnak</w:t>
      </w:r>
      <w:r w:rsidR="009707B0">
        <w:t xml:space="preserve"> currently has </w:t>
      </w:r>
      <w:r w:rsidR="00CF14FD">
        <w:t xml:space="preserve">four diesel generators with </w:t>
      </w:r>
      <w:r>
        <w:t>1,278</w:t>
      </w:r>
      <w:r w:rsidR="00CF14FD">
        <w:t xml:space="preserve"> kW of capacity.</w:t>
      </w:r>
      <w:r w:rsidR="009707B0">
        <w:t xml:space="preserve"> Thus, a mini-grid design consisting of </w:t>
      </w:r>
      <w:r w:rsidR="00CF14FD">
        <w:t>adding wind, solar, batteries</w:t>
      </w:r>
      <w:r>
        <w:t>, an additional small</w:t>
      </w:r>
      <w:r w:rsidR="00B11B2D">
        <w:t xml:space="preserve"> (100 kW)</w:t>
      </w:r>
      <w:r>
        <w:t xml:space="preserve"> diesel generator,</w:t>
      </w:r>
      <w:r w:rsidR="00CF14FD">
        <w:t xml:space="preserve"> and thermal electric stoves</w:t>
      </w:r>
      <w:r w:rsidR="009707B0">
        <w:t xml:space="preserve"> was analyzed </w:t>
      </w:r>
      <w:r w:rsidR="00CF14FD">
        <w:t>to</w:t>
      </w:r>
      <w:r w:rsidR="009707B0">
        <w:t xml:space="preserve"> redu</w:t>
      </w:r>
      <w:r>
        <w:t>ce diesel fuel dependency. The highest</w:t>
      </w:r>
      <w:r w:rsidR="009707B0">
        <w:t xml:space="preserve"> net present </w:t>
      </w:r>
      <w:r>
        <w:t>value</w:t>
      </w:r>
      <w:r w:rsidR="009707B0">
        <w:t xml:space="preserve"> option</w:t>
      </w:r>
      <w:r w:rsidR="00CA4882" w:rsidRPr="00CA4882">
        <w:t xml:space="preserve"> adds a </w:t>
      </w:r>
      <w:r>
        <w:t>5</w:t>
      </w:r>
      <w:r w:rsidR="00CA4882" w:rsidRPr="00CA4882">
        <w:t xml:space="preserve">00 kW wind plant with </w:t>
      </w:r>
      <w:r>
        <w:t>100</w:t>
      </w:r>
      <w:r w:rsidR="00CA4882" w:rsidRPr="00CA4882">
        <w:t xml:space="preserve"> kW of </w:t>
      </w:r>
      <w:r>
        <w:t xml:space="preserve">solar photovoltaics (PV), and 46 kW of </w:t>
      </w:r>
      <w:r w:rsidR="00CA4882" w:rsidRPr="00CA4882">
        <w:t>electric thermal stoves</w:t>
      </w:r>
      <w:r w:rsidR="009707B0">
        <w:t xml:space="preserve"> and costs approximate</w:t>
      </w:r>
      <w:r>
        <w:t>ly</w:t>
      </w:r>
      <w:r w:rsidR="009707B0">
        <w:t xml:space="preserve"> $</w:t>
      </w:r>
      <w:r>
        <w:t>4</w:t>
      </w:r>
      <w:r w:rsidR="00CA4882">
        <w:t>.</w:t>
      </w:r>
      <w:r>
        <w:t>3</w:t>
      </w:r>
      <w:r w:rsidR="009707B0">
        <w:t xml:space="preserve"> million.</w:t>
      </w:r>
      <w:r w:rsidR="00CA4BA3" w:rsidRPr="00CA4BA3">
        <w:t xml:space="preserve"> </w:t>
      </w:r>
    </w:p>
    <w:p w14:paraId="51517E96" w14:textId="4589BAE3" w:rsidR="008E722A" w:rsidRPr="00CA4BA3" w:rsidRDefault="008E722A" w:rsidP="00CA4BA3">
      <w:pPr>
        <w:pStyle w:val="BodyText"/>
      </w:pPr>
      <w:r w:rsidRPr="00CA4BA3">
        <w:br w:type="page"/>
      </w:r>
    </w:p>
    <w:p w14:paraId="6732552E" w14:textId="77777777" w:rsidR="00DA79BF" w:rsidRDefault="00DA79BF" w:rsidP="008E722A">
      <w:pPr>
        <w:pStyle w:val="Heading1"/>
        <w:rPr>
          <w:rFonts w:asciiTheme="majorHAnsi" w:hAnsiTheme="majorHAnsi" w:cstheme="majorHAnsi"/>
        </w:rPr>
        <w:sectPr w:rsidR="00DA79BF" w:rsidSect="00E36544">
          <w:footerReference w:type="default" r:id="rId18"/>
          <w:footnotePr>
            <w:numRestart w:val="eachSect"/>
          </w:footnotePr>
          <w:type w:val="oddPage"/>
          <w:pgSz w:w="12240" w:h="15840" w:code="1"/>
          <w:pgMar w:top="1440" w:right="1440" w:bottom="1440" w:left="1440" w:header="720" w:footer="720" w:gutter="0"/>
          <w:pgNumType w:start="1" w:chapStyle="1" w:chapSep="period"/>
          <w:cols w:space="720"/>
        </w:sectPr>
      </w:pPr>
    </w:p>
    <w:p w14:paraId="3B6556C1" w14:textId="534A5F2E" w:rsidR="008E722A" w:rsidRDefault="009707B0" w:rsidP="008E722A">
      <w:pPr>
        <w:pStyle w:val="Heading1"/>
        <w:rPr>
          <w:rFonts w:asciiTheme="majorHAnsi" w:hAnsiTheme="majorHAnsi" w:cstheme="majorHAnsi"/>
        </w:rPr>
      </w:pPr>
      <w:bookmarkStart w:id="10" w:name="_Toc496624721"/>
      <w:r>
        <w:rPr>
          <w:rFonts w:asciiTheme="majorHAnsi" w:hAnsiTheme="majorHAnsi" w:cstheme="majorHAnsi"/>
        </w:rPr>
        <w:lastRenderedPageBreak/>
        <w:t>Background</w:t>
      </w:r>
      <w:bookmarkEnd w:id="10"/>
    </w:p>
    <w:p w14:paraId="414A7C71" w14:textId="37F01C98" w:rsidR="00973B9A" w:rsidRDefault="00973B9A" w:rsidP="00973B9A">
      <w:pPr>
        <w:keepNext/>
        <w:keepLines/>
        <w:spacing w:before="240" w:after="60"/>
      </w:pPr>
      <w:r>
        <w:t xml:space="preserve">Shungnak is a rural village located in </w:t>
      </w:r>
      <w:r w:rsidR="00394C2E">
        <w:t xml:space="preserve">Northwest Arctic </w:t>
      </w:r>
      <w:r>
        <w:t xml:space="preserve">Borough in </w:t>
      </w:r>
      <w:r w:rsidR="00394C2E">
        <w:t xml:space="preserve">Northwest </w:t>
      </w:r>
      <w:r>
        <w:t>Alaska with a population of 299 in the 2016</w:t>
      </w:r>
      <w:r w:rsidR="005832BD">
        <w:t xml:space="preserve"> (Figure 2-1)</w:t>
      </w:r>
      <w:r>
        <w:t>.</w:t>
      </w:r>
      <w:r>
        <w:rPr>
          <w:rStyle w:val="FootnoteReference"/>
        </w:rPr>
        <w:footnoteReference w:id="4"/>
      </w:r>
      <w:r w:rsidR="00BD5CD2">
        <w:t xml:space="preserve"> </w:t>
      </w:r>
      <w:r>
        <w:t>Currently, Shungnak obtains all of its electricity through diesel-fueled generators operated by the Alaska Village Electric Cooperative.</w:t>
      </w:r>
      <w:r w:rsidR="00BD5CD2">
        <w:t xml:space="preserve"> </w:t>
      </w:r>
      <w:r>
        <w:t>Most of the 77 homes are not thoroughly in</w:t>
      </w:r>
      <w:r w:rsidR="00783C9F">
        <w:t>sulated nor do they have energy-</w:t>
      </w:r>
      <w:r>
        <w:t xml:space="preserve">efficient appliances. </w:t>
      </w:r>
    </w:p>
    <w:p w14:paraId="27786C54" w14:textId="0EA5B2F6" w:rsidR="00973B9A" w:rsidRDefault="00973B9A" w:rsidP="00973B9A">
      <w:pPr>
        <w:spacing w:before="240" w:after="60"/>
      </w:pPr>
      <w:r>
        <w:t>The village receives its electricity from four diesel generators with a total combined capacity is 1,278 kW. Current diesel electricity generation provides 1.6 MWh per year to the community, and is assumed to rise 0.75% per year through the analysis time period.</w:t>
      </w:r>
      <w:r w:rsidR="00BD5CD2">
        <w:t xml:space="preserve"> </w:t>
      </w:r>
      <w:r>
        <w:t>Peak electric demand for the year occurs in January at just over 362 kW.</w:t>
      </w:r>
      <w:r w:rsidR="00BD5CD2">
        <w:t xml:space="preserve"> </w:t>
      </w:r>
      <w:r>
        <w:t>Diesel consumption for 2016 increased to 121,883 gallons</w:t>
      </w:r>
      <w:r>
        <w:rPr>
          <w:rStyle w:val="FootnoteReference"/>
        </w:rPr>
        <w:footnoteReference w:id="5"/>
      </w:r>
      <w:r>
        <w:t xml:space="preserve"> from 2015 at an average price of $5.22/gallon</w:t>
      </w:r>
      <w:r>
        <w:rPr>
          <w:rStyle w:val="FootnoteReference"/>
        </w:rPr>
        <w:footnoteReference w:id="6"/>
      </w:r>
      <w:r>
        <w:t>; 2014 was the high for 2012-2016 at 123,751. The price in 2012 was significantly higher at $7.51/gallon</w:t>
      </w:r>
      <w:r>
        <w:rPr>
          <w:rStyle w:val="FootnoteReference"/>
        </w:rPr>
        <w:footnoteReference w:id="7"/>
      </w:r>
      <w:r>
        <w:t>. Residential housing is primarily heated by fuel oil. Low temperatures during the winter can reach as low as -24</w:t>
      </w:r>
      <w:r w:rsidRPr="00497D06">
        <w:rPr>
          <w:vertAlign w:val="superscript"/>
        </w:rPr>
        <w:t>o</w:t>
      </w:r>
      <w:r>
        <w:t xml:space="preserve">C with </w:t>
      </w:r>
      <w:r w:rsidR="00E23F85">
        <w:t xml:space="preserve">averages in January of </w:t>
      </w:r>
      <w:r>
        <w:t>of -4</w:t>
      </w:r>
      <w:r w:rsidR="00E23F85">
        <w:t>7</w:t>
      </w:r>
      <w:r w:rsidRPr="00497D06">
        <w:rPr>
          <w:vertAlign w:val="superscript"/>
        </w:rPr>
        <w:t>o</w:t>
      </w:r>
      <w:r>
        <w:t>C.</w:t>
      </w:r>
      <w:r w:rsidR="00BD5CD2">
        <w:t xml:space="preserve"> </w:t>
      </w:r>
    </w:p>
    <w:p w14:paraId="186C8E59" w14:textId="26B0937D" w:rsidR="009707B0" w:rsidRDefault="00973B9A" w:rsidP="00973B9A">
      <w:pPr>
        <w:pStyle w:val="BodyText"/>
      </w:pPr>
      <w:r>
        <w:t>Electricity prices to the community, based on PCE filings, appear to be priced using residential and commercial rates.</w:t>
      </w:r>
      <w:r w:rsidR="00BD5CD2">
        <w:t xml:space="preserve"> </w:t>
      </w:r>
      <w:r>
        <w:t>The average rate, calculated across all kWh sold to all consumers</w:t>
      </w:r>
      <w:r w:rsidR="007F738A">
        <w:t>,</w:t>
      </w:r>
      <w:r>
        <w:t xml:space="preserve"> was</w:t>
      </w:r>
      <w:r w:rsidDel="00577AA6">
        <w:t xml:space="preserve"> </w:t>
      </w:r>
      <w:r>
        <w:t>$1.01/kWh in 2016. The State of Alaska Power Cost Equalization (PCE) program attempts to lower the price of electricity in rural areas of Alaska based on electric rates in Anchorage, Fairbanks and Juneau. The program primarily offsets the price of energy for the first 500 kWh of electricity used per month for residential customers. Residential electricity consumers receive a subsidy of $0.51/kWh cents. The rate charged to residential consumers was $0.73/kWh providing an effective rate of $0.23/kWh. AVEC reported nonfuel expenses at $0.28/kWh.</w:t>
      </w:r>
      <w:r>
        <w:rPr>
          <w:rStyle w:val="FootnoteReference"/>
        </w:rPr>
        <w:footnoteReference w:id="8"/>
      </w:r>
      <w:r w:rsidR="00BD5CD2">
        <w:t xml:space="preserve">  </w:t>
      </w:r>
    </w:p>
    <w:p w14:paraId="179DAFFF" w14:textId="767DE413" w:rsidR="009707B0" w:rsidRDefault="00BD5CD2" w:rsidP="005832BD">
      <w:pPr>
        <w:pStyle w:val="BodyText"/>
        <w:jc w:val="both"/>
      </w:pPr>
      <w:r>
        <w:lastRenderedPageBreak/>
        <w:t xml:space="preserve"> </w:t>
      </w:r>
      <w:r w:rsidR="00973B9A">
        <w:rPr>
          <w:noProof/>
        </w:rPr>
        <w:drawing>
          <wp:inline distT="0" distB="0" distL="0" distR="0" wp14:anchorId="3601A37D" wp14:editId="3B4C0DAF">
            <wp:extent cx="5883334" cy="3989614"/>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9540" cy="3993823"/>
                    </a:xfrm>
                    <a:prstGeom prst="rect">
                      <a:avLst/>
                    </a:prstGeom>
                    <a:noFill/>
                  </pic:spPr>
                </pic:pic>
              </a:graphicData>
            </a:graphic>
          </wp:inline>
        </w:drawing>
      </w:r>
    </w:p>
    <w:p w14:paraId="17757DF1" w14:textId="3BF866F4" w:rsidR="009707B0" w:rsidRPr="005832BD" w:rsidRDefault="009707B0" w:rsidP="005832BD">
      <w:pPr>
        <w:pStyle w:val="Figure"/>
        <w:jc w:val="both"/>
        <w:rPr>
          <w:rStyle w:val="BodyTextChar"/>
        </w:rPr>
      </w:pPr>
      <w:bookmarkStart w:id="11" w:name="_Toc496624262"/>
      <w:r w:rsidRPr="008049D9">
        <w:rPr>
          <w:b/>
        </w:rPr>
        <w:t xml:space="preserve">Figure </w:t>
      </w:r>
      <w:r w:rsidR="008049D9" w:rsidRPr="008049D9">
        <w:rPr>
          <w:b/>
        </w:rPr>
        <w:t>2-</w:t>
      </w:r>
      <w:r w:rsidRPr="008049D9">
        <w:rPr>
          <w:b/>
        </w:rPr>
        <w:t>1</w:t>
      </w:r>
      <w:r w:rsidR="008049D9" w:rsidRPr="008049D9">
        <w:rPr>
          <w:b/>
        </w:rPr>
        <w:t>:</w:t>
      </w:r>
      <w:r w:rsidRPr="008049D9">
        <w:rPr>
          <w:b/>
        </w:rPr>
        <w:t xml:space="preserve"> </w:t>
      </w:r>
      <w:r w:rsidRPr="00DA79BF">
        <w:t xml:space="preserve">Regional map of </w:t>
      </w:r>
      <w:r w:rsidR="00973B9A">
        <w:t>Shungnak</w:t>
      </w:r>
      <w:r w:rsidRPr="00DA79BF">
        <w:t xml:space="preserve">. </w:t>
      </w:r>
      <w:r w:rsidR="005832BD" w:rsidRPr="005832BD">
        <w:rPr>
          <w:rStyle w:val="BodyTextChar"/>
        </w:rPr>
        <w:t>Shungnak location in Alaska (upper left), location in Northwest Ar</w:t>
      </w:r>
      <w:r w:rsidR="00394C2E">
        <w:rPr>
          <w:rStyle w:val="BodyTextChar"/>
        </w:rPr>
        <w:t>c</w:t>
      </w:r>
      <w:r w:rsidR="005832BD" w:rsidRPr="005832BD">
        <w:rPr>
          <w:rStyle w:val="BodyTextChar"/>
        </w:rPr>
        <w:t xml:space="preserve">tic Borough (top right), location on the Kobuk River (bottom left), and view of Shungnak Village (bottom right) </w:t>
      </w:r>
      <w:r w:rsidRPr="005832BD">
        <w:rPr>
          <w:rStyle w:val="BodyTextChar"/>
        </w:rPr>
        <w:t>Source: Google Maps</w:t>
      </w:r>
      <w:bookmarkEnd w:id="11"/>
    </w:p>
    <w:p w14:paraId="4EC80D85" w14:textId="4F4228ED" w:rsidR="00CA4882" w:rsidRDefault="00CA4882" w:rsidP="00CA4882">
      <w:pPr>
        <w:pStyle w:val="Caption"/>
        <w:spacing w:before="240" w:after="120"/>
        <w:jc w:val="left"/>
      </w:pPr>
      <w:r>
        <w:t xml:space="preserve">See Table </w:t>
      </w:r>
      <w:r w:rsidR="005832BD">
        <w:t>2-</w:t>
      </w:r>
      <w:r>
        <w:t xml:space="preserve">1 for diesel prices from FY2012-FY2016. </w:t>
      </w:r>
      <w:r w:rsidR="005832BD">
        <w:t>The table also indicates the cost of electricity sold over the same period. In addition, note the high line losses shown from 2013 and 2016 at over 40%. Powerhouse consumption is about 2.8% of production.</w:t>
      </w:r>
    </w:p>
    <w:p w14:paraId="251BBE71" w14:textId="3EA168F3" w:rsidR="00CA4882" w:rsidRDefault="00A124D6" w:rsidP="00CA4882">
      <w:pPr>
        <w:pStyle w:val="Caption"/>
        <w:spacing w:before="240" w:after="120"/>
      </w:pPr>
      <w:bookmarkStart w:id="12" w:name="_Toc496624240"/>
      <w:r w:rsidRPr="00A124D6">
        <w:rPr>
          <w:b/>
        </w:rPr>
        <w:t xml:space="preserve">Table </w:t>
      </w:r>
      <w:r w:rsidR="00033A7F">
        <w:rPr>
          <w:b/>
        </w:rPr>
        <w:fldChar w:fldCharType="begin"/>
      </w:r>
      <w:r w:rsidR="00033A7F">
        <w:rPr>
          <w:b/>
        </w:rPr>
        <w:instrText xml:space="preserve"> STYLEREF 1 \s </w:instrText>
      </w:r>
      <w:r w:rsidR="00033A7F">
        <w:rPr>
          <w:b/>
        </w:rPr>
        <w:fldChar w:fldCharType="separate"/>
      </w:r>
      <w:r w:rsidR="00033A7F">
        <w:rPr>
          <w:b/>
          <w:noProof/>
        </w:rPr>
        <w:t>2</w:t>
      </w:r>
      <w:r w:rsidR="00033A7F">
        <w:rPr>
          <w:b/>
        </w:rPr>
        <w:fldChar w:fldCharType="end"/>
      </w:r>
      <w:r w:rsidR="00033A7F">
        <w:rPr>
          <w:b/>
        </w:rPr>
        <w:noBreakHyphen/>
      </w:r>
      <w:r w:rsidR="00033A7F">
        <w:rPr>
          <w:b/>
        </w:rPr>
        <w:fldChar w:fldCharType="begin"/>
      </w:r>
      <w:r w:rsidR="00033A7F">
        <w:rPr>
          <w:b/>
        </w:rPr>
        <w:instrText xml:space="preserve"> SEQ Table \* ARABIC \s 1 </w:instrText>
      </w:r>
      <w:r w:rsidR="00033A7F">
        <w:rPr>
          <w:b/>
        </w:rPr>
        <w:fldChar w:fldCharType="separate"/>
      </w:r>
      <w:r w:rsidR="00033A7F">
        <w:rPr>
          <w:b/>
          <w:noProof/>
        </w:rPr>
        <w:t>1</w:t>
      </w:r>
      <w:r w:rsidR="00033A7F">
        <w:rPr>
          <w:b/>
        </w:rPr>
        <w:fldChar w:fldCharType="end"/>
      </w:r>
      <w:r w:rsidRPr="00A124D6">
        <w:rPr>
          <w:b/>
        </w:rPr>
        <w:t>:</w:t>
      </w:r>
      <w:r>
        <w:t xml:space="preserve"> </w:t>
      </w:r>
      <w:r w:rsidR="009707B0" w:rsidRPr="006672B7">
        <w:t>PCE Statistics, 2012-2016</w:t>
      </w:r>
      <w:r w:rsidR="00CA4882">
        <w:rPr>
          <w:rStyle w:val="FootnoteReference"/>
        </w:rPr>
        <w:footnoteReference w:id="9"/>
      </w:r>
      <w:bookmarkEnd w:id="12"/>
    </w:p>
    <w:tbl>
      <w:tblPr>
        <w:tblW w:w="8407" w:type="dxa"/>
        <w:jc w:val="center"/>
        <w:tblLook w:val="04A0" w:firstRow="1" w:lastRow="0" w:firstColumn="1" w:lastColumn="0" w:noHBand="0" w:noVBand="1"/>
      </w:tblPr>
      <w:tblGrid>
        <w:gridCol w:w="2610"/>
        <w:gridCol w:w="1026"/>
        <w:gridCol w:w="1195"/>
        <w:gridCol w:w="1206"/>
        <w:gridCol w:w="1195"/>
        <w:gridCol w:w="1195"/>
      </w:tblGrid>
      <w:tr w:rsidR="005832BD" w:rsidRPr="002020F7" w14:paraId="1E125109" w14:textId="77777777" w:rsidTr="004E1381">
        <w:trPr>
          <w:trHeight w:val="288"/>
          <w:jc w:val="center"/>
        </w:trPr>
        <w:tc>
          <w:tcPr>
            <w:tcW w:w="2610" w:type="dxa"/>
            <w:tcBorders>
              <w:top w:val="single" w:sz="8" w:space="0" w:color="auto"/>
              <w:left w:val="nil"/>
              <w:bottom w:val="single" w:sz="4" w:space="0" w:color="auto"/>
              <w:right w:val="single" w:sz="4" w:space="0" w:color="auto"/>
            </w:tcBorders>
            <w:shd w:val="clear" w:color="000000" w:fill="FFFFFF"/>
            <w:noWrap/>
            <w:hideMark/>
          </w:tcPr>
          <w:p w14:paraId="70AE8538" w14:textId="2B1ABADC" w:rsidR="005832BD" w:rsidRPr="004E1381" w:rsidRDefault="005832BD" w:rsidP="005832BD">
            <w:pPr>
              <w:rPr>
                <w:rFonts w:ascii="Calibri" w:hAnsi="Calibri" w:cstheme="majorHAnsi"/>
                <w:color w:val="000000"/>
                <w:sz w:val="20"/>
                <w:szCs w:val="20"/>
              </w:rPr>
            </w:pPr>
            <w:r w:rsidRPr="004E1381">
              <w:rPr>
                <w:rFonts w:ascii="Calibri" w:hAnsi="Calibri" w:cstheme="majorHAnsi"/>
                <w:sz w:val="20"/>
                <w:szCs w:val="20"/>
              </w:rPr>
              <w:t>Year (Calendar)</w:t>
            </w:r>
          </w:p>
        </w:tc>
        <w:tc>
          <w:tcPr>
            <w:tcW w:w="1006" w:type="dxa"/>
            <w:tcBorders>
              <w:top w:val="single" w:sz="8" w:space="0" w:color="auto"/>
              <w:left w:val="nil"/>
              <w:bottom w:val="single" w:sz="4" w:space="0" w:color="auto"/>
              <w:right w:val="nil"/>
            </w:tcBorders>
            <w:shd w:val="clear" w:color="000000" w:fill="FFFFFF"/>
            <w:noWrap/>
            <w:hideMark/>
          </w:tcPr>
          <w:p w14:paraId="7239AA74" w14:textId="1C82B6CC"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FY2012</w:t>
            </w:r>
          </w:p>
        </w:tc>
        <w:tc>
          <w:tcPr>
            <w:tcW w:w="1195" w:type="dxa"/>
            <w:tcBorders>
              <w:top w:val="single" w:sz="8" w:space="0" w:color="auto"/>
              <w:left w:val="nil"/>
              <w:bottom w:val="single" w:sz="4" w:space="0" w:color="auto"/>
              <w:right w:val="nil"/>
            </w:tcBorders>
            <w:shd w:val="clear" w:color="000000" w:fill="FFFFFF"/>
            <w:noWrap/>
            <w:hideMark/>
          </w:tcPr>
          <w:p w14:paraId="294D20C0" w14:textId="148272DF"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FY2013</w:t>
            </w:r>
          </w:p>
        </w:tc>
        <w:tc>
          <w:tcPr>
            <w:tcW w:w="1206" w:type="dxa"/>
            <w:tcBorders>
              <w:top w:val="single" w:sz="8" w:space="0" w:color="auto"/>
              <w:left w:val="nil"/>
              <w:bottom w:val="single" w:sz="4" w:space="0" w:color="auto"/>
              <w:right w:val="nil"/>
            </w:tcBorders>
            <w:shd w:val="clear" w:color="000000" w:fill="FFFFFF"/>
            <w:noWrap/>
            <w:hideMark/>
          </w:tcPr>
          <w:p w14:paraId="0EEE1BED" w14:textId="4C84D714"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FY2014</w:t>
            </w:r>
          </w:p>
        </w:tc>
        <w:tc>
          <w:tcPr>
            <w:tcW w:w="1195" w:type="dxa"/>
            <w:tcBorders>
              <w:top w:val="single" w:sz="8" w:space="0" w:color="auto"/>
              <w:left w:val="nil"/>
              <w:bottom w:val="single" w:sz="4" w:space="0" w:color="auto"/>
              <w:right w:val="nil"/>
            </w:tcBorders>
            <w:shd w:val="clear" w:color="000000" w:fill="FFFFFF"/>
            <w:noWrap/>
            <w:hideMark/>
          </w:tcPr>
          <w:p w14:paraId="5FB21316" w14:textId="5A77FCD3"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FY2015</w:t>
            </w:r>
          </w:p>
        </w:tc>
        <w:tc>
          <w:tcPr>
            <w:tcW w:w="1195" w:type="dxa"/>
            <w:tcBorders>
              <w:top w:val="single" w:sz="8" w:space="0" w:color="auto"/>
              <w:left w:val="nil"/>
              <w:bottom w:val="single" w:sz="4" w:space="0" w:color="auto"/>
              <w:right w:val="nil"/>
            </w:tcBorders>
            <w:shd w:val="clear" w:color="000000" w:fill="FFFFFF"/>
            <w:noWrap/>
            <w:hideMark/>
          </w:tcPr>
          <w:p w14:paraId="4D93117A" w14:textId="360A5F6E"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FY2016</w:t>
            </w:r>
          </w:p>
        </w:tc>
      </w:tr>
      <w:tr w:rsidR="005832BD" w:rsidRPr="002020F7" w14:paraId="71E64CEC" w14:textId="77777777" w:rsidTr="004E1381">
        <w:trPr>
          <w:trHeight w:val="288"/>
          <w:jc w:val="center"/>
        </w:trPr>
        <w:tc>
          <w:tcPr>
            <w:tcW w:w="2610" w:type="dxa"/>
            <w:tcBorders>
              <w:top w:val="nil"/>
              <w:left w:val="nil"/>
              <w:bottom w:val="nil"/>
              <w:right w:val="single" w:sz="4" w:space="0" w:color="auto"/>
            </w:tcBorders>
            <w:shd w:val="clear" w:color="000000" w:fill="FFFFFF"/>
            <w:noWrap/>
            <w:hideMark/>
          </w:tcPr>
          <w:p w14:paraId="3FBB8655" w14:textId="42DC2EA2" w:rsidR="005832BD" w:rsidRPr="004E1381" w:rsidRDefault="005832BD" w:rsidP="005832BD">
            <w:pPr>
              <w:rPr>
                <w:rFonts w:ascii="Calibri" w:hAnsi="Calibri" w:cstheme="majorHAnsi"/>
                <w:color w:val="000000"/>
                <w:sz w:val="20"/>
                <w:szCs w:val="20"/>
              </w:rPr>
            </w:pPr>
            <w:r w:rsidRPr="004E1381">
              <w:rPr>
                <w:rFonts w:ascii="Calibri" w:hAnsi="Calibri" w:cstheme="majorHAnsi"/>
                <w:sz w:val="20"/>
                <w:szCs w:val="20"/>
              </w:rPr>
              <w:t>Diesel cost ($/gal)</w:t>
            </w:r>
          </w:p>
        </w:tc>
        <w:tc>
          <w:tcPr>
            <w:tcW w:w="1006" w:type="dxa"/>
            <w:tcBorders>
              <w:top w:val="nil"/>
              <w:left w:val="nil"/>
              <w:bottom w:val="nil"/>
              <w:right w:val="nil"/>
            </w:tcBorders>
            <w:shd w:val="clear" w:color="000000" w:fill="FFFFFF"/>
            <w:noWrap/>
            <w:hideMark/>
          </w:tcPr>
          <w:p w14:paraId="181D5056" w14:textId="58E3D9DA"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 xml:space="preserve">$7.51 </w:t>
            </w:r>
          </w:p>
        </w:tc>
        <w:tc>
          <w:tcPr>
            <w:tcW w:w="1195" w:type="dxa"/>
            <w:tcBorders>
              <w:top w:val="nil"/>
              <w:left w:val="nil"/>
              <w:bottom w:val="nil"/>
              <w:right w:val="nil"/>
            </w:tcBorders>
            <w:shd w:val="clear" w:color="000000" w:fill="FFFFFF"/>
            <w:noWrap/>
            <w:hideMark/>
          </w:tcPr>
          <w:p w14:paraId="379FA479" w14:textId="26A64EFA"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 xml:space="preserve">$5.10 </w:t>
            </w:r>
          </w:p>
        </w:tc>
        <w:tc>
          <w:tcPr>
            <w:tcW w:w="1206" w:type="dxa"/>
            <w:tcBorders>
              <w:top w:val="nil"/>
              <w:left w:val="nil"/>
              <w:bottom w:val="nil"/>
              <w:right w:val="nil"/>
            </w:tcBorders>
            <w:shd w:val="clear" w:color="000000" w:fill="FFFFFF"/>
            <w:noWrap/>
            <w:hideMark/>
          </w:tcPr>
          <w:p w14:paraId="02757666" w14:textId="42EFDBAD"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 xml:space="preserve">$6.84 </w:t>
            </w:r>
          </w:p>
        </w:tc>
        <w:tc>
          <w:tcPr>
            <w:tcW w:w="1195" w:type="dxa"/>
            <w:tcBorders>
              <w:top w:val="nil"/>
              <w:left w:val="nil"/>
              <w:bottom w:val="nil"/>
              <w:right w:val="nil"/>
            </w:tcBorders>
            <w:shd w:val="clear" w:color="000000" w:fill="FFFFFF"/>
            <w:noWrap/>
            <w:hideMark/>
          </w:tcPr>
          <w:p w14:paraId="6F4BE29F" w14:textId="4005253C"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 xml:space="preserve">$5.36 </w:t>
            </w:r>
          </w:p>
        </w:tc>
        <w:tc>
          <w:tcPr>
            <w:tcW w:w="1195" w:type="dxa"/>
            <w:tcBorders>
              <w:top w:val="nil"/>
              <w:left w:val="nil"/>
              <w:bottom w:val="nil"/>
              <w:right w:val="nil"/>
            </w:tcBorders>
            <w:shd w:val="clear" w:color="000000" w:fill="FFFFFF"/>
            <w:noWrap/>
            <w:hideMark/>
          </w:tcPr>
          <w:p w14:paraId="4D41D71D" w14:textId="583A4AD7"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 xml:space="preserve">$5.22 </w:t>
            </w:r>
          </w:p>
        </w:tc>
      </w:tr>
      <w:tr w:rsidR="005832BD" w:rsidRPr="002020F7" w14:paraId="115718BF" w14:textId="77777777" w:rsidTr="004E1381">
        <w:trPr>
          <w:trHeight w:val="300"/>
          <w:jc w:val="center"/>
        </w:trPr>
        <w:tc>
          <w:tcPr>
            <w:tcW w:w="2610" w:type="dxa"/>
            <w:tcBorders>
              <w:top w:val="nil"/>
              <w:left w:val="nil"/>
              <w:bottom w:val="nil"/>
              <w:right w:val="single" w:sz="4" w:space="0" w:color="auto"/>
            </w:tcBorders>
            <w:shd w:val="clear" w:color="000000" w:fill="FFFFFF"/>
            <w:noWrap/>
          </w:tcPr>
          <w:p w14:paraId="2B21EE53" w14:textId="6AD319DA" w:rsidR="005832BD" w:rsidRPr="004E1381" w:rsidRDefault="00A448E1" w:rsidP="005832BD">
            <w:pPr>
              <w:rPr>
                <w:rFonts w:ascii="Calibri" w:hAnsi="Calibri" w:cstheme="majorHAnsi"/>
                <w:color w:val="000000"/>
                <w:sz w:val="20"/>
                <w:szCs w:val="20"/>
              </w:rPr>
            </w:pPr>
            <w:r>
              <w:rPr>
                <w:rFonts w:ascii="Calibri" w:hAnsi="Calibri" w:cstheme="majorHAnsi"/>
                <w:sz w:val="20"/>
                <w:szCs w:val="20"/>
              </w:rPr>
              <w:t>Diesel consumption (gal.</w:t>
            </w:r>
            <w:r w:rsidR="005832BD" w:rsidRPr="004E1381">
              <w:rPr>
                <w:rFonts w:ascii="Calibri" w:hAnsi="Calibri" w:cstheme="majorHAnsi"/>
                <w:sz w:val="20"/>
                <w:szCs w:val="20"/>
              </w:rPr>
              <w:t>)</w:t>
            </w:r>
          </w:p>
        </w:tc>
        <w:tc>
          <w:tcPr>
            <w:tcW w:w="1006" w:type="dxa"/>
            <w:tcBorders>
              <w:top w:val="nil"/>
              <w:left w:val="nil"/>
              <w:bottom w:val="nil"/>
              <w:right w:val="nil"/>
            </w:tcBorders>
            <w:shd w:val="clear" w:color="000000" w:fill="FFFFFF"/>
            <w:noWrap/>
          </w:tcPr>
          <w:p w14:paraId="4FC0B1E7" w14:textId="773E3FEA"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117,382</w:t>
            </w:r>
          </w:p>
        </w:tc>
        <w:tc>
          <w:tcPr>
            <w:tcW w:w="1195" w:type="dxa"/>
            <w:tcBorders>
              <w:top w:val="nil"/>
              <w:left w:val="nil"/>
              <w:bottom w:val="nil"/>
              <w:right w:val="nil"/>
            </w:tcBorders>
            <w:shd w:val="clear" w:color="000000" w:fill="FFFFFF"/>
            <w:noWrap/>
          </w:tcPr>
          <w:p w14:paraId="2E75DD43" w14:textId="3134A73B"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122,825</w:t>
            </w:r>
          </w:p>
        </w:tc>
        <w:tc>
          <w:tcPr>
            <w:tcW w:w="1206" w:type="dxa"/>
            <w:tcBorders>
              <w:top w:val="nil"/>
              <w:left w:val="nil"/>
              <w:bottom w:val="nil"/>
              <w:right w:val="nil"/>
            </w:tcBorders>
            <w:shd w:val="clear" w:color="000000" w:fill="FFFFFF"/>
            <w:noWrap/>
          </w:tcPr>
          <w:p w14:paraId="7AB60DDB" w14:textId="42E3F1FE"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123,751</w:t>
            </w:r>
          </w:p>
        </w:tc>
        <w:tc>
          <w:tcPr>
            <w:tcW w:w="1195" w:type="dxa"/>
            <w:tcBorders>
              <w:top w:val="nil"/>
              <w:left w:val="nil"/>
              <w:bottom w:val="nil"/>
              <w:right w:val="nil"/>
            </w:tcBorders>
            <w:shd w:val="clear" w:color="000000" w:fill="FFFFFF"/>
            <w:noWrap/>
          </w:tcPr>
          <w:p w14:paraId="353E8571" w14:textId="28344514"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117,349</w:t>
            </w:r>
          </w:p>
        </w:tc>
        <w:tc>
          <w:tcPr>
            <w:tcW w:w="1195" w:type="dxa"/>
            <w:tcBorders>
              <w:top w:val="nil"/>
              <w:left w:val="nil"/>
              <w:bottom w:val="nil"/>
              <w:right w:val="nil"/>
            </w:tcBorders>
            <w:shd w:val="clear" w:color="000000" w:fill="FFFFFF"/>
            <w:noWrap/>
          </w:tcPr>
          <w:p w14:paraId="3A9215B2" w14:textId="6C54875E"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121,883</w:t>
            </w:r>
          </w:p>
        </w:tc>
      </w:tr>
      <w:tr w:rsidR="005832BD" w:rsidRPr="002020F7" w14:paraId="55037857" w14:textId="77777777" w:rsidTr="004E1381">
        <w:trPr>
          <w:trHeight w:val="300"/>
          <w:jc w:val="center"/>
        </w:trPr>
        <w:tc>
          <w:tcPr>
            <w:tcW w:w="2610" w:type="dxa"/>
            <w:tcBorders>
              <w:top w:val="nil"/>
              <w:left w:val="nil"/>
              <w:bottom w:val="nil"/>
              <w:right w:val="single" w:sz="4" w:space="0" w:color="auto"/>
            </w:tcBorders>
            <w:shd w:val="clear" w:color="000000" w:fill="FFFFFF"/>
            <w:noWrap/>
          </w:tcPr>
          <w:p w14:paraId="555D0B03" w14:textId="259DA9B5" w:rsidR="005832BD" w:rsidRPr="004E1381" w:rsidRDefault="005832BD" w:rsidP="005832BD">
            <w:pPr>
              <w:rPr>
                <w:rFonts w:ascii="Calibri" w:hAnsi="Calibri" w:cstheme="majorHAnsi"/>
                <w:color w:val="000000"/>
                <w:sz w:val="20"/>
                <w:szCs w:val="20"/>
              </w:rPr>
            </w:pPr>
            <w:r w:rsidRPr="004E1381">
              <w:rPr>
                <w:rFonts w:ascii="Calibri" w:hAnsi="Calibri" w:cstheme="majorHAnsi"/>
                <w:sz w:val="20"/>
                <w:szCs w:val="20"/>
              </w:rPr>
              <w:t>Elec. cost ($/kWh)</w:t>
            </w:r>
          </w:p>
        </w:tc>
        <w:tc>
          <w:tcPr>
            <w:tcW w:w="1006" w:type="dxa"/>
            <w:tcBorders>
              <w:top w:val="nil"/>
              <w:left w:val="nil"/>
              <w:bottom w:val="nil"/>
              <w:right w:val="nil"/>
            </w:tcBorders>
            <w:shd w:val="clear" w:color="000000" w:fill="FFFFFF"/>
            <w:noWrap/>
          </w:tcPr>
          <w:p w14:paraId="6D7C51B2" w14:textId="693163CD"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 xml:space="preserve">$0.83 </w:t>
            </w:r>
          </w:p>
        </w:tc>
        <w:tc>
          <w:tcPr>
            <w:tcW w:w="1195" w:type="dxa"/>
            <w:tcBorders>
              <w:top w:val="nil"/>
              <w:left w:val="nil"/>
              <w:bottom w:val="nil"/>
              <w:right w:val="nil"/>
            </w:tcBorders>
            <w:shd w:val="clear" w:color="000000" w:fill="FFFFFF"/>
            <w:noWrap/>
          </w:tcPr>
          <w:p w14:paraId="5557112C" w14:textId="618F9905"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 xml:space="preserve">$0.91 </w:t>
            </w:r>
          </w:p>
        </w:tc>
        <w:tc>
          <w:tcPr>
            <w:tcW w:w="1206" w:type="dxa"/>
            <w:tcBorders>
              <w:top w:val="nil"/>
              <w:left w:val="nil"/>
              <w:bottom w:val="nil"/>
              <w:right w:val="nil"/>
            </w:tcBorders>
            <w:shd w:val="clear" w:color="000000" w:fill="FFFFFF"/>
            <w:noWrap/>
          </w:tcPr>
          <w:p w14:paraId="083ABA67" w14:textId="39C2A638"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 xml:space="preserve">$1.10 </w:t>
            </w:r>
          </w:p>
        </w:tc>
        <w:tc>
          <w:tcPr>
            <w:tcW w:w="1195" w:type="dxa"/>
            <w:tcBorders>
              <w:top w:val="nil"/>
              <w:left w:val="nil"/>
              <w:bottom w:val="nil"/>
              <w:right w:val="nil"/>
            </w:tcBorders>
            <w:shd w:val="clear" w:color="000000" w:fill="FFFFFF"/>
            <w:noWrap/>
          </w:tcPr>
          <w:p w14:paraId="500DA6BB" w14:textId="01227B98"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 xml:space="preserve">$0.95 </w:t>
            </w:r>
          </w:p>
        </w:tc>
        <w:tc>
          <w:tcPr>
            <w:tcW w:w="1195" w:type="dxa"/>
            <w:tcBorders>
              <w:top w:val="nil"/>
              <w:left w:val="nil"/>
              <w:bottom w:val="nil"/>
              <w:right w:val="nil"/>
            </w:tcBorders>
            <w:shd w:val="clear" w:color="000000" w:fill="FFFFFF"/>
            <w:noWrap/>
          </w:tcPr>
          <w:p w14:paraId="36C23F4F" w14:textId="5B0DCC0F"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 xml:space="preserve">$1.01 </w:t>
            </w:r>
          </w:p>
        </w:tc>
      </w:tr>
      <w:tr w:rsidR="005832BD" w:rsidRPr="002020F7" w14:paraId="17CC31B4" w14:textId="77777777" w:rsidTr="004E1381">
        <w:trPr>
          <w:trHeight w:val="300"/>
          <w:jc w:val="center"/>
        </w:trPr>
        <w:tc>
          <w:tcPr>
            <w:tcW w:w="2610" w:type="dxa"/>
            <w:tcBorders>
              <w:top w:val="nil"/>
              <w:left w:val="nil"/>
              <w:bottom w:val="nil"/>
              <w:right w:val="single" w:sz="4" w:space="0" w:color="auto"/>
            </w:tcBorders>
            <w:shd w:val="clear" w:color="000000" w:fill="FFFFFF"/>
            <w:noWrap/>
          </w:tcPr>
          <w:p w14:paraId="012C75C1" w14:textId="0E74BCC4" w:rsidR="005832BD" w:rsidRPr="004E1381" w:rsidRDefault="005832BD" w:rsidP="005832BD">
            <w:pPr>
              <w:rPr>
                <w:rFonts w:ascii="Calibri" w:hAnsi="Calibri" w:cstheme="majorHAnsi"/>
                <w:color w:val="000000"/>
                <w:sz w:val="20"/>
                <w:szCs w:val="20"/>
              </w:rPr>
            </w:pPr>
            <w:r w:rsidRPr="004E1381">
              <w:rPr>
                <w:rFonts w:ascii="Calibri" w:hAnsi="Calibri" w:cstheme="majorHAnsi"/>
                <w:sz w:val="20"/>
                <w:szCs w:val="20"/>
              </w:rPr>
              <w:t>Elec Generation (MWh)</w:t>
            </w:r>
          </w:p>
        </w:tc>
        <w:tc>
          <w:tcPr>
            <w:tcW w:w="1006" w:type="dxa"/>
            <w:tcBorders>
              <w:top w:val="nil"/>
              <w:left w:val="nil"/>
              <w:bottom w:val="nil"/>
              <w:right w:val="nil"/>
            </w:tcBorders>
            <w:shd w:val="clear" w:color="000000" w:fill="FFFFFF"/>
            <w:noWrap/>
          </w:tcPr>
          <w:p w14:paraId="21AE1FEB" w14:textId="02E59E07"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1,588,139</w:t>
            </w:r>
          </w:p>
        </w:tc>
        <w:tc>
          <w:tcPr>
            <w:tcW w:w="1195" w:type="dxa"/>
            <w:tcBorders>
              <w:top w:val="nil"/>
              <w:left w:val="nil"/>
              <w:bottom w:val="nil"/>
              <w:right w:val="nil"/>
            </w:tcBorders>
            <w:shd w:val="clear" w:color="000000" w:fill="FFFFFF"/>
            <w:noWrap/>
          </w:tcPr>
          <w:p w14:paraId="300B33B2" w14:textId="26D4A6FE"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1,732,010</w:t>
            </w:r>
          </w:p>
        </w:tc>
        <w:tc>
          <w:tcPr>
            <w:tcW w:w="1206" w:type="dxa"/>
            <w:tcBorders>
              <w:top w:val="nil"/>
              <w:left w:val="nil"/>
              <w:bottom w:val="nil"/>
              <w:right w:val="nil"/>
            </w:tcBorders>
            <w:shd w:val="clear" w:color="000000" w:fill="FFFFFF"/>
            <w:noWrap/>
          </w:tcPr>
          <w:p w14:paraId="38CAF0EB" w14:textId="5FC52E3C"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 xml:space="preserve">$1,721,352 </w:t>
            </w:r>
          </w:p>
        </w:tc>
        <w:tc>
          <w:tcPr>
            <w:tcW w:w="1195" w:type="dxa"/>
            <w:tcBorders>
              <w:top w:val="nil"/>
              <w:left w:val="nil"/>
              <w:bottom w:val="nil"/>
              <w:right w:val="nil"/>
            </w:tcBorders>
            <w:shd w:val="clear" w:color="000000" w:fill="FFFFFF"/>
            <w:noWrap/>
          </w:tcPr>
          <w:p w14:paraId="5C8940DF" w14:textId="46A5D94F"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1,591,761</w:t>
            </w:r>
          </w:p>
        </w:tc>
        <w:tc>
          <w:tcPr>
            <w:tcW w:w="1195" w:type="dxa"/>
            <w:tcBorders>
              <w:top w:val="nil"/>
              <w:left w:val="nil"/>
              <w:bottom w:val="nil"/>
              <w:right w:val="nil"/>
            </w:tcBorders>
            <w:shd w:val="clear" w:color="000000" w:fill="FFFFFF"/>
            <w:noWrap/>
          </w:tcPr>
          <w:p w14:paraId="188A96E9" w14:textId="6E9FE58D"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1,572,529</w:t>
            </w:r>
          </w:p>
        </w:tc>
      </w:tr>
      <w:tr w:rsidR="005832BD" w:rsidRPr="002020F7" w14:paraId="427E96CE" w14:textId="77777777" w:rsidTr="004E1381">
        <w:trPr>
          <w:trHeight w:val="300"/>
          <w:jc w:val="center"/>
        </w:trPr>
        <w:tc>
          <w:tcPr>
            <w:tcW w:w="2610" w:type="dxa"/>
            <w:tcBorders>
              <w:top w:val="nil"/>
              <w:left w:val="nil"/>
              <w:bottom w:val="nil"/>
              <w:right w:val="single" w:sz="4" w:space="0" w:color="auto"/>
            </w:tcBorders>
            <w:shd w:val="clear" w:color="000000" w:fill="FFFFFF"/>
            <w:noWrap/>
          </w:tcPr>
          <w:p w14:paraId="0F9B7DB1" w14:textId="47F6E8F0" w:rsidR="005832BD" w:rsidRPr="004E1381" w:rsidRDefault="005832BD" w:rsidP="005832BD">
            <w:pPr>
              <w:rPr>
                <w:rFonts w:ascii="Calibri" w:hAnsi="Calibri" w:cstheme="majorHAnsi"/>
                <w:color w:val="000000"/>
                <w:sz w:val="20"/>
                <w:szCs w:val="20"/>
              </w:rPr>
            </w:pPr>
            <w:r w:rsidRPr="004E1381">
              <w:rPr>
                <w:rFonts w:ascii="Calibri" w:hAnsi="Calibri" w:cstheme="majorHAnsi"/>
                <w:sz w:val="20"/>
                <w:szCs w:val="20"/>
              </w:rPr>
              <w:t>Elec Consumption (MWh)</w:t>
            </w:r>
          </w:p>
        </w:tc>
        <w:tc>
          <w:tcPr>
            <w:tcW w:w="1006" w:type="dxa"/>
            <w:tcBorders>
              <w:top w:val="nil"/>
              <w:left w:val="nil"/>
              <w:bottom w:val="nil"/>
              <w:right w:val="nil"/>
            </w:tcBorders>
            <w:shd w:val="clear" w:color="000000" w:fill="FFFFFF"/>
            <w:noWrap/>
          </w:tcPr>
          <w:p w14:paraId="5B31A4B9" w14:textId="1AEBAAA0"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1,520,182</w:t>
            </w:r>
          </w:p>
        </w:tc>
        <w:tc>
          <w:tcPr>
            <w:tcW w:w="1195" w:type="dxa"/>
            <w:tcBorders>
              <w:top w:val="nil"/>
              <w:left w:val="nil"/>
              <w:bottom w:val="nil"/>
              <w:right w:val="nil"/>
            </w:tcBorders>
            <w:shd w:val="clear" w:color="000000" w:fill="FFFFFF"/>
            <w:noWrap/>
          </w:tcPr>
          <w:p w14:paraId="1A893A9B" w14:textId="612A7C09"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980,235</w:t>
            </w:r>
          </w:p>
        </w:tc>
        <w:tc>
          <w:tcPr>
            <w:tcW w:w="1206" w:type="dxa"/>
            <w:tcBorders>
              <w:top w:val="nil"/>
              <w:left w:val="nil"/>
              <w:bottom w:val="nil"/>
              <w:right w:val="nil"/>
            </w:tcBorders>
            <w:shd w:val="clear" w:color="000000" w:fill="FFFFFF"/>
            <w:noWrap/>
          </w:tcPr>
          <w:p w14:paraId="1D9A0748" w14:textId="381FF66C"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971,754</w:t>
            </w:r>
          </w:p>
        </w:tc>
        <w:tc>
          <w:tcPr>
            <w:tcW w:w="1195" w:type="dxa"/>
            <w:tcBorders>
              <w:top w:val="nil"/>
              <w:left w:val="nil"/>
              <w:bottom w:val="nil"/>
              <w:right w:val="nil"/>
            </w:tcBorders>
            <w:shd w:val="clear" w:color="000000" w:fill="FFFFFF"/>
            <w:noWrap/>
          </w:tcPr>
          <w:p w14:paraId="391606C2" w14:textId="73E520E5"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900,015</w:t>
            </w:r>
          </w:p>
        </w:tc>
        <w:tc>
          <w:tcPr>
            <w:tcW w:w="1195" w:type="dxa"/>
            <w:tcBorders>
              <w:top w:val="nil"/>
              <w:left w:val="nil"/>
              <w:bottom w:val="nil"/>
              <w:right w:val="nil"/>
            </w:tcBorders>
            <w:shd w:val="clear" w:color="000000" w:fill="FFFFFF"/>
            <w:noWrap/>
          </w:tcPr>
          <w:p w14:paraId="1D0E23C2" w14:textId="08B32333"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879,140</w:t>
            </w:r>
          </w:p>
        </w:tc>
      </w:tr>
      <w:tr w:rsidR="005832BD" w:rsidRPr="002020F7" w14:paraId="0CFFC3E5" w14:textId="77777777" w:rsidTr="004E1381">
        <w:trPr>
          <w:trHeight w:val="300"/>
          <w:jc w:val="center"/>
        </w:trPr>
        <w:tc>
          <w:tcPr>
            <w:tcW w:w="2610" w:type="dxa"/>
            <w:tcBorders>
              <w:top w:val="nil"/>
              <w:left w:val="nil"/>
              <w:bottom w:val="single" w:sz="8" w:space="0" w:color="auto"/>
              <w:right w:val="single" w:sz="4" w:space="0" w:color="auto"/>
            </w:tcBorders>
            <w:shd w:val="clear" w:color="000000" w:fill="FFFFFF"/>
            <w:noWrap/>
          </w:tcPr>
          <w:p w14:paraId="0D6C21B3" w14:textId="278B9BB8" w:rsidR="005832BD" w:rsidRPr="004E1381" w:rsidRDefault="005832BD" w:rsidP="005832BD">
            <w:pPr>
              <w:rPr>
                <w:rFonts w:ascii="Calibri" w:hAnsi="Calibri" w:cstheme="majorHAnsi"/>
                <w:color w:val="000000"/>
                <w:sz w:val="20"/>
                <w:szCs w:val="20"/>
              </w:rPr>
            </w:pPr>
            <w:r w:rsidRPr="004E1381">
              <w:rPr>
                <w:rFonts w:ascii="Calibri" w:hAnsi="Calibri" w:cstheme="majorHAnsi"/>
                <w:sz w:val="20"/>
                <w:szCs w:val="20"/>
              </w:rPr>
              <w:t>Line loss (%)</w:t>
            </w:r>
          </w:p>
        </w:tc>
        <w:tc>
          <w:tcPr>
            <w:tcW w:w="1006" w:type="dxa"/>
            <w:tcBorders>
              <w:top w:val="nil"/>
              <w:left w:val="nil"/>
              <w:bottom w:val="single" w:sz="8" w:space="0" w:color="auto"/>
              <w:right w:val="nil"/>
            </w:tcBorders>
            <w:shd w:val="clear" w:color="000000" w:fill="FFFFFF"/>
            <w:noWrap/>
          </w:tcPr>
          <w:p w14:paraId="085580BC" w14:textId="3B06E477"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1.7</w:t>
            </w:r>
          </w:p>
        </w:tc>
        <w:tc>
          <w:tcPr>
            <w:tcW w:w="1195" w:type="dxa"/>
            <w:tcBorders>
              <w:top w:val="nil"/>
              <w:left w:val="nil"/>
              <w:bottom w:val="single" w:sz="8" w:space="0" w:color="auto"/>
              <w:right w:val="nil"/>
            </w:tcBorders>
            <w:shd w:val="clear" w:color="000000" w:fill="FFFFFF"/>
            <w:noWrap/>
          </w:tcPr>
          <w:p w14:paraId="53386252" w14:textId="0AE6DE01"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40.7</w:t>
            </w:r>
          </w:p>
        </w:tc>
        <w:tc>
          <w:tcPr>
            <w:tcW w:w="1206" w:type="dxa"/>
            <w:tcBorders>
              <w:top w:val="nil"/>
              <w:left w:val="nil"/>
              <w:bottom w:val="single" w:sz="8" w:space="0" w:color="auto"/>
              <w:right w:val="nil"/>
            </w:tcBorders>
            <w:shd w:val="clear" w:color="000000" w:fill="FFFFFF"/>
            <w:noWrap/>
          </w:tcPr>
          <w:p w14:paraId="3520BC35" w14:textId="798E9468"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40.7</w:t>
            </w:r>
          </w:p>
        </w:tc>
        <w:tc>
          <w:tcPr>
            <w:tcW w:w="1195" w:type="dxa"/>
            <w:tcBorders>
              <w:top w:val="nil"/>
              <w:left w:val="nil"/>
              <w:bottom w:val="single" w:sz="8" w:space="0" w:color="auto"/>
              <w:right w:val="nil"/>
            </w:tcBorders>
            <w:shd w:val="clear" w:color="000000" w:fill="FFFFFF"/>
            <w:noWrap/>
          </w:tcPr>
          <w:p w14:paraId="43E0FD9E" w14:textId="4F0936FC"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40.3</w:t>
            </w:r>
          </w:p>
        </w:tc>
        <w:tc>
          <w:tcPr>
            <w:tcW w:w="1195" w:type="dxa"/>
            <w:tcBorders>
              <w:top w:val="nil"/>
              <w:left w:val="nil"/>
              <w:bottom w:val="single" w:sz="8" w:space="0" w:color="auto"/>
              <w:right w:val="nil"/>
            </w:tcBorders>
            <w:shd w:val="clear" w:color="000000" w:fill="FFFFFF"/>
            <w:noWrap/>
          </w:tcPr>
          <w:p w14:paraId="296E715D" w14:textId="27477B39" w:rsidR="005832BD" w:rsidRPr="004E1381" w:rsidRDefault="005832BD" w:rsidP="005832BD">
            <w:pPr>
              <w:jc w:val="right"/>
              <w:rPr>
                <w:rFonts w:ascii="Calibri" w:hAnsi="Calibri" w:cstheme="majorHAnsi"/>
                <w:color w:val="000000"/>
                <w:sz w:val="20"/>
                <w:szCs w:val="20"/>
              </w:rPr>
            </w:pPr>
            <w:r w:rsidRPr="004E1381">
              <w:rPr>
                <w:rFonts w:ascii="Calibri" w:hAnsi="Calibri" w:cstheme="majorHAnsi"/>
                <w:sz w:val="20"/>
                <w:szCs w:val="20"/>
              </w:rPr>
              <w:t>41.2</w:t>
            </w:r>
          </w:p>
        </w:tc>
      </w:tr>
    </w:tbl>
    <w:p w14:paraId="683B9AAF" w14:textId="77777777" w:rsidR="00CA4882" w:rsidRPr="00CA4882" w:rsidRDefault="00CA4882" w:rsidP="00CA4882"/>
    <w:p w14:paraId="428A69C5" w14:textId="77777777" w:rsidR="00DA79BF" w:rsidRDefault="00402AFB">
      <w:pPr>
        <w:tabs>
          <w:tab w:val="clear" w:pos="360"/>
          <w:tab w:val="clear" w:pos="720"/>
          <w:tab w:val="clear" w:pos="1080"/>
        </w:tabs>
        <w:rPr>
          <w:b/>
        </w:rPr>
        <w:sectPr w:rsidR="00DA79BF" w:rsidSect="00DA79BF">
          <w:pgSz w:w="12240" w:h="15840" w:code="1"/>
          <w:pgMar w:top="1440" w:right="1440" w:bottom="1440" w:left="1440" w:header="720" w:footer="720" w:gutter="0"/>
          <w:pgNumType w:start="1" w:chapStyle="1" w:chapSep="period"/>
          <w:cols w:space="720"/>
        </w:sectPr>
      </w:pPr>
      <w:r>
        <w:rPr>
          <w:b/>
        </w:rPr>
        <w:br w:type="page"/>
      </w:r>
    </w:p>
    <w:p w14:paraId="5B1666A2" w14:textId="7C14621F" w:rsidR="00DB566E" w:rsidRPr="00DB566E" w:rsidRDefault="00332D26" w:rsidP="00332D26">
      <w:pPr>
        <w:pStyle w:val="Heading1"/>
        <w:rPr>
          <w:rFonts w:asciiTheme="majorHAnsi" w:hAnsiTheme="majorHAnsi" w:cstheme="majorHAnsi"/>
        </w:rPr>
      </w:pPr>
      <w:bookmarkStart w:id="13" w:name="_Toc496624722"/>
      <w:r w:rsidRPr="00332D26">
        <w:rPr>
          <w:rFonts w:asciiTheme="majorHAnsi" w:hAnsiTheme="majorHAnsi" w:cstheme="majorHAnsi"/>
        </w:rPr>
        <w:lastRenderedPageBreak/>
        <w:t>Project Objective</w:t>
      </w:r>
      <w:bookmarkEnd w:id="13"/>
    </w:p>
    <w:p w14:paraId="042E6477" w14:textId="2DB68B8A" w:rsidR="005832BD" w:rsidRDefault="005832BD" w:rsidP="005832BD">
      <w:pPr>
        <w:spacing w:before="240"/>
      </w:pPr>
      <w:r>
        <w:t>The Project retrofits the mini-grid for Shungnak composed of renewable energy resources including a mix of wind, batteries, and thermal stoves. The retrofit replaces electricity generated by existing diesel generators to reduce the dependence on expensive diesel-fuel generated electricity</w:t>
      </w:r>
      <w:r w:rsidR="00FD3F04">
        <w:t>.  H</w:t>
      </w:r>
      <w:r>
        <w:t>istorically</w:t>
      </w:r>
      <w:r w:rsidR="00FD3F04">
        <w:t xml:space="preserve"> diesel prices</w:t>
      </w:r>
      <w:r>
        <w:t xml:space="preserve"> ha</w:t>
      </w:r>
      <w:r w:rsidR="00FD3F04">
        <w:t>ve</w:t>
      </w:r>
      <w:r>
        <w:t xml:space="preserve"> risen to as high as $7.51/gallon in 2012 and averaged $6.01 over the 2012-2016 time period. The analysis assumed a $7.16/gallon price for the diesel fuel for electricity generation and $7.99/gallon for home heating oil. The project expects to reduce diesel fuel demand for electricity by 74% from estimated baseline levels due to the construction and installation of the renewable generation. The battery bank and converter are sized to cover lulls in the wind during diesel-off operation.</w:t>
      </w:r>
      <w:r w:rsidR="00BD5CD2">
        <w:t xml:space="preserve"> </w:t>
      </w:r>
    </w:p>
    <w:p w14:paraId="23CC451D" w14:textId="4841C9F3" w:rsidR="005832BD" w:rsidRDefault="005832BD" w:rsidP="005832BD">
      <w:pPr>
        <w:spacing w:before="240"/>
      </w:pPr>
      <w:r>
        <w:t>The project will also reduce the demand for heating oil through the use of electric thermal stoves that use surplus renewable energy (energy generated by renewable resources that exceeds the demand for electricity).</w:t>
      </w:r>
      <w:r w:rsidR="00BD5CD2">
        <w:t xml:space="preserve"> </w:t>
      </w:r>
      <w:r>
        <w:t>Thermal electric stoves bought by the utility and leased to customers with low</w:t>
      </w:r>
      <w:r w:rsidR="00BB5D5C">
        <w:t>-</w:t>
      </w:r>
      <w:r>
        <w:t>cost renewable electricity may provide a greater return to the utility on renewable energy that w</w:t>
      </w:r>
      <w:r w:rsidR="00FD3F04">
        <w:t>ould</w:t>
      </w:r>
      <w:r>
        <w:t xml:space="preserve"> otherwise be spilled.</w:t>
      </w:r>
      <w:r w:rsidR="00BD5CD2">
        <w:t xml:space="preserve"> </w:t>
      </w:r>
      <w:r>
        <w:t>In addition, proposed energy efficiency projects for buildings will reduce the demand for electricity and fuel oil reducing overall demand for diesel and heating oil.</w:t>
      </w:r>
      <w:r w:rsidR="00BD5CD2">
        <w:t xml:space="preserve"> </w:t>
      </w:r>
      <w:r>
        <w:t>Th</w:t>
      </w:r>
      <w:r w:rsidR="00FD3F04">
        <w:t>e</w:t>
      </w:r>
      <w:r>
        <w:t xml:space="preserve"> business case only provides an analysis of the mini-grid resources developed for the village and assumes that any energy efficiency improvements are realized </w:t>
      </w:r>
      <w:r w:rsidR="007357D7">
        <w:t>and assumed to be completed prior to the beginning of the operation of the upgraded mini-grid</w:t>
      </w:r>
      <w:r>
        <w:t>.</w:t>
      </w:r>
      <w:r w:rsidR="00BD5CD2">
        <w:t xml:space="preserve"> </w:t>
      </w:r>
      <w:r w:rsidR="007357D7">
        <w:t xml:space="preserve">These upgrades provide a reduced thermal and electrical load on which the mini-grid operates over the project life,  </w:t>
      </w:r>
      <w:r>
        <w:t xml:space="preserve">The </w:t>
      </w:r>
      <w:r w:rsidR="001214E0">
        <w:t xml:space="preserve">technical </w:t>
      </w:r>
      <w:r>
        <w:t>project analysis evaluated renewable energy resources with and without the energy efficiency upgrades and the renewable energy and energy efficiency cases provided the highest net present value.</w:t>
      </w:r>
      <w:r w:rsidR="001214E0">
        <w:rPr>
          <w:rStyle w:val="FootnoteReference"/>
        </w:rPr>
        <w:footnoteReference w:id="10"/>
      </w:r>
      <w:r>
        <w:t xml:space="preserve"> The project expects to reduce the cost of electricity and improve environmental conditions through the use of renewable resources</w:t>
      </w:r>
      <w:r w:rsidR="00FD3F04">
        <w:t xml:space="preserve"> instead of diesel generation</w:t>
      </w:r>
      <w:r>
        <w:t>.</w:t>
      </w:r>
    </w:p>
    <w:p w14:paraId="12252652" w14:textId="2F109DA4" w:rsidR="006959C5" w:rsidRDefault="005832BD" w:rsidP="005832BD">
      <w:pPr>
        <w:pStyle w:val="BodyText"/>
      </w:pPr>
      <w:r>
        <w:t>The business case evaluated the feasibility of the cooperative utility retrofitting their mini-grid with the renewable resources in this plan. The cooperative utility has a multitude of incentives that can be used to improve the internal rate of return.</w:t>
      </w:r>
      <w:r w:rsidR="00BD5CD2">
        <w:t xml:space="preserve"> </w:t>
      </w:r>
      <w:r>
        <w:t xml:space="preserve">In this analysis, the utility was assumed to obtain a grant for the equity portion and a loan from one of the funding agencies available to cooperative entities. The following programs may provide funding: Native Alaska corporations, </w:t>
      </w:r>
      <w:r w:rsidRPr="00AA5BBA">
        <w:t>the Power Project Loan Fund, Renewable Energy Grant Program</w:t>
      </w:r>
      <w:r>
        <w:t>,</w:t>
      </w:r>
      <w:r w:rsidRPr="00AA5BBA">
        <w:t xml:space="preserve"> Clean Renewable Energy Bonds (CREBS), and the USDA – Rural Energy for America Program (REAP) Grants.</w:t>
      </w:r>
      <w:r w:rsidR="00FD3F04">
        <w:t xml:space="preserve"> </w:t>
      </w:r>
      <w:r>
        <w:t>The Renewable Energy Grant from the Alaska Energy Authority (AEA) currently has received no new funding and has a waiting list so it may not be a possibility.</w:t>
      </w:r>
      <w:r w:rsidRPr="007B3A82">
        <w:t xml:space="preserve"> </w:t>
      </w:r>
      <w:r>
        <w:t>An additional source of funds could be Native corporations.</w:t>
      </w:r>
      <w:r w:rsidR="00BD5CD2">
        <w:t xml:space="preserve"> </w:t>
      </w:r>
      <w:r>
        <w:t>In addition, there is a growing number of renewable energy projects financed for the production tax credits.</w:t>
      </w:r>
      <w:r>
        <w:rPr>
          <w:rStyle w:val="FootnoteReference"/>
        </w:rPr>
        <w:footnoteReference w:id="11"/>
      </w:r>
      <w:r w:rsidR="00BD5CD2">
        <w:t xml:space="preserve"> </w:t>
      </w:r>
      <w:r>
        <w:t>However, tax equity availability could shrink as the production tax credit expires. In addition</w:t>
      </w:r>
      <w:r w:rsidR="00957A3C">
        <w:t>,</w:t>
      </w:r>
      <w:r>
        <w:t xml:space="preserve"> tribal corporations may qualify for the Tribal Energy Grant Program</w:t>
      </w:r>
      <w:r>
        <w:rPr>
          <w:rStyle w:val="FootnoteReference"/>
        </w:rPr>
        <w:footnoteReference w:id="12"/>
      </w:r>
      <w:r>
        <w:t>.</w:t>
      </w:r>
      <w:r w:rsidDel="00864436">
        <w:t xml:space="preserve"> </w:t>
      </w:r>
      <w:r>
        <w:t>In addition, if investment requirements are met, Shungnak’s utility could potentially obtain financing through other alternatives such as the DOE loan guarantee program should they be able to meet the requirements of the program.</w:t>
      </w:r>
    </w:p>
    <w:p w14:paraId="08169717" w14:textId="77777777" w:rsidR="00464EA4" w:rsidRDefault="00464EA4" w:rsidP="0013143E">
      <w:pPr>
        <w:pStyle w:val="BodyText"/>
      </w:pPr>
    </w:p>
    <w:p w14:paraId="579D4975" w14:textId="77777777" w:rsidR="00DA79BF" w:rsidRDefault="00DA79BF" w:rsidP="00332D26">
      <w:pPr>
        <w:pStyle w:val="Heading1"/>
        <w:sectPr w:rsidR="00DA79BF" w:rsidSect="00DA79BF">
          <w:footerReference w:type="default" r:id="rId20"/>
          <w:type w:val="oddPage"/>
          <w:pgSz w:w="12240" w:h="15840" w:code="1"/>
          <w:pgMar w:top="1440" w:right="1440" w:bottom="1440" w:left="1440" w:header="720" w:footer="720" w:gutter="0"/>
          <w:pgNumType w:start="1" w:chapStyle="1" w:chapSep="period"/>
          <w:cols w:space="720"/>
        </w:sectPr>
      </w:pPr>
    </w:p>
    <w:p w14:paraId="7233C692" w14:textId="5A00467F" w:rsidR="00C64B6B" w:rsidRDefault="00332D26" w:rsidP="00332D26">
      <w:pPr>
        <w:pStyle w:val="Heading1"/>
      </w:pPr>
      <w:bookmarkStart w:id="14" w:name="_Toc496624723"/>
      <w:r w:rsidRPr="00332D26">
        <w:lastRenderedPageBreak/>
        <w:t>Project Description</w:t>
      </w:r>
      <w:bookmarkEnd w:id="14"/>
    </w:p>
    <w:p w14:paraId="63459D98" w14:textId="52FBB766" w:rsidR="005832BD" w:rsidRDefault="005832BD" w:rsidP="005832BD">
      <w:pPr>
        <w:keepNext/>
      </w:pPr>
      <w:r>
        <w:t>The retrofitted mini-grid proposed includes 500 kW of wind combined with a 100 kW solar PV and 46 kW of electric thermal stoves.</w:t>
      </w:r>
      <w:r w:rsidR="00BD5CD2">
        <w:t xml:space="preserve"> </w:t>
      </w:r>
      <w:r w:rsidR="00DC5B4B">
        <w:t xml:space="preserve">The assumed life of the project was chosen as 20 years as this was the lifetime of the most expensive asset, the wind turbines. </w:t>
      </w:r>
      <w:r>
        <w:t>The total cost of the proposed installed project is $4.3 million, $3.4 million of which covers 5 wind turbines and converters. The project will also include the accompanying switchgears, controllers and software required to operate the mini-grid.</w:t>
      </w:r>
      <w:r w:rsidR="00BD5CD2">
        <w:t xml:space="preserve"> </w:t>
      </w:r>
      <w:r>
        <w:t xml:space="preserve">The proposed option was the optimal configuration based on an analysis using the MDT </w:t>
      </w:r>
      <w:r w:rsidR="00122965">
        <w:t>analysis tool</w:t>
      </w:r>
      <w:r>
        <w:t>. The proposed option was selected from an array of options that included wind, solar, hydroelectricity, batteries and thermal stoves. The mini-grid installed will supplement and reduce diesel consumption used in current generation by 95 thousand gallons per year.</w:t>
      </w:r>
    </w:p>
    <w:p w14:paraId="5DBACA27" w14:textId="4FE97B15" w:rsidR="00332D26" w:rsidRDefault="005832BD" w:rsidP="005832BD">
      <w:pPr>
        <w:pStyle w:val="BodyText"/>
      </w:pPr>
      <w:r>
        <w:t>The installed costs, operating costs and assumed lifetimes for each of the resources are shown in Table 2.</w:t>
      </w:r>
      <w:r w:rsidR="009874FD">
        <w:t xml:space="preserve"> The installed costs reflect the harsh climate in Alaska as well as the remoteness of the community.</w:t>
      </w:r>
      <w:r>
        <w:t xml:space="preserve"> No values for diesel generators were included; any existing generation in the village was assumed to be new and are treated as sunk costs.</w:t>
      </w:r>
      <w:r w:rsidR="00BD5CD2">
        <w:t xml:space="preserve"> </w:t>
      </w:r>
      <w:r>
        <w:t>However</w:t>
      </w:r>
      <w:r w:rsidR="00E101B1">
        <w:t>,</w:t>
      </w:r>
      <w:r>
        <w:t xml:space="preserve"> the diesel generators are assumed to last 60,000-100,000 hours and due to their low usage in the optimal solutions, they </w:t>
      </w:r>
      <w:r w:rsidR="00122965">
        <w:t>were not replaced during the 20-</w:t>
      </w:r>
      <w:r>
        <w:t>year project lifetime. The renewable resources are expected to have a 20 year life with the exception of hydro which has a lifetime of 30 years.</w:t>
      </w:r>
      <w:r w:rsidR="00BD5CD2">
        <w:t xml:space="preserve"> </w:t>
      </w:r>
      <w:r>
        <w:t>The assumptions are based on the baseline values in MDT.</w:t>
      </w:r>
    </w:p>
    <w:p w14:paraId="61EA3499" w14:textId="4BF50FFE" w:rsidR="00332D26" w:rsidRDefault="005832BD" w:rsidP="00AF0375">
      <w:pPr>
        <w:pStyle w:val="BodyText"/>
        <w:jc w:val="center"/>
      </w:pPr>
      <w:r>
        <w:rPr>
          <w:noProof/>
        </w:rPr>
        <w:drawing>
          <wp:inline distT="0" distB="0" distL="0" distR="0" wp14:anchorId="1373565F" wp14:editId="4AC53ED9">
            <wp:extent cx="5402580" cy="4075698"/>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3895" cy="4091778"/>
                    </a:xfrm>
                    <a:prstGeom prst="rect">
                      <a:avLst/>
                    </a:prstGeom>
                    <a:noFill/>
                  </pic:spPr>
                </pic:pic>
              </a:graphicData>
            </a:graphic>
          </wp:inline>
        </w:drawing>
      </w:r>
    </w:p>
    <w:p w14:paraId="56732783" w14:textId="19D0C692" w:rsidR="005D7C6B" w:rsidRDefault="00332D26" w:rsidP="005D7C6B">
      <w:pPr>
        <w:pStyle w:val="Figure"/>
      </w:pPr>
      <w:bookmarkStart w:id="15" w:name="_Toc496624263"/>
      <w:r w:rsidRPr="005D7C6B">
        <w:rPr>
          <w:b/>
        </w:rPr>
        <w:t xml:space="preserve">Figure </w:t>
      </w:r>
      <w:r w:rsidR="005D7C6B" w:rsidRPr="005D7C6B">
        <w:rPr>
          <w:b/>
        </w:rPr>
        <w:t>4-1:</w:t>
      </w:r>
      <w:r>
        <w:t xml:space="preserve"> Project schematic of the mini-grid retrofit to be implemented</w:t>
      </w:r>
      <w:bookmarkEnd w:id="15"/>
    </w:p>
    <w:p w14:paraId="795E8762" w14:textId="77777777" w:rsidR="005D7C6B" w:rsidRDefault="005D7C6B">
      <w:pPr>
        <w:tabs>
          <w:tab w:val="clear" w:pos="360"/>
          <w:tab w:val="clear" w:pos="720"/>
          <w:tab w:val="clear" w:pos="1080"/>
        </w:tabs>
      </w:pPr>
      <w:r>
        <w:br w:type="page"/>
      </w:r>
    </w:p>
    <w:p w14:paraId="044C0B2C" w14:textId="5FB568EA" w:rsidR="005D7C6B" w:rsidRDefault="00033A7F" w:rsidP="00AF0375">
      <w:pPr>
        <w:pStyle w:val="Caption"/>
      </w:pPr>
      <w:bookmarkStart w:id="16" w:name="_Toc496624241"/>
      <w:r w:rsidRPr="00033A7F">
        <w:rPr>
          <w:b/>
        </w:rPr>
        <w:lastRenderedPageBreak/>
        <w:t xml:space="preserve">Table </w:t>
      </w:r>
      <w:r>
        <w:rPr>
          <w:b/>
        </w:rPr>
        <w:fldChar w:fldCharType="begin"/>
      </w:r>
      <w:r>
        <w:rPr>
          <w:b/>
        </w:rPr>
        <w:instrText xml:space="preserve"> STYLEREF 1 \s </w:instrText>
      </w:r>
      <w:r>
        <w:rPr>
          <w:b/>
        </w:rPr>
        <w:fldChar w:fldCharType="separate"/>
      </w:r>
      <w:r>
        <w:rPr>
          <w:b/>
          <w:noProof/>
        </w:rPr>
        <w:t>4</w:t>
      </w:r>
      <w:r>
        <w:rPr>
          <w:b/>
        </w:rPr>
        <w:fldChar w:fldCharType="end"/>
      </w:r>
      <w:r>
        <w:rPr>
          <w:b/>
        </w:rPr>
        <w:noBreakHyphen/>
      </w:r>
      <w:r>
        <w:rPr>
          <w:b/>
        </w:rPr>
        <w:fldChar w:fldCharType="begin"/>
      </w:r>
      <w:r>
        <w:rPr>
          <w:b/>
        </w:rPr>
        <w:instrText xml:space="preserve"> SEQ Table \* ARABIC \s 1 </w:instrText>
      </w:r>
      <w:r>
        <w:rPr>
          <w:b/>
        </w:rPr>
        <w:fldChar w:fldCharType="separate"/>
      </w:r>
      <w:r>
        <w:rPr>
          <w:b/>
          <w:noProof/>
        </w:rPr>
        <w:t>1</w:t>
      </w:r>
      <w:r>
        <w:rPr>
          <w:b/>
        </w:rPr>
        <w:fldChar w:fldCharType="end"/>
      </w:r>
      <w:r w:rsidR="005D7C6B" w:rsidRPr="00033A7F">
        <w:rPr>
          <w:b/>
        </w:rPr>
        <w:t>:</w:t>
      </w:r>
      <w:r w:rsidR="005D7C6B">
        <w:t xml:space="preserve"> </w:t>
      </w:r>
      <w:r w:rsidR="005D7C6B" w:rsidRPr="00033A7F">
        <w:t>Resources and assumptions used in the analysis</w:t>
      </w:r>
      <w:bookmarkEnd w:id="16"/>
    </w:p>
    <w:tbl>
      <w:tblPr>
        <w:tblW w:w="9002" w:type="dxa"/>
        <w:tblLook w:val="04A0" w:firstRow="1" w:lastRow="0" w:firstColumn="1" w:lastColumn="0" w:noHBand="0" w:noVBand="1"/>
      </w:tblPr>
      <w:tblGrid>
        <w:gridCol w:w="3694"/>
        <w:gridCol w:w="266"/>
        <w:gridCol w:w="1044"/>
        <w:gridCol w:w="1032"/>
        <w:gridCol w:w="1032"/>
        <w:gridCol w:w="1032"/>
        <w:gridCol w:w="236"/>
        <w:gridCol w:w="222"/>
        <w:gridCol w:w="222"/>
        <w:gridCol w:w="222"/>
      </w:tblGrid>
      <w:tr w:rsidR="00AF0375" w:rsidRPr="00D16840" w14:paraId="1AD8AE13" w14:textId="77777777" w:rsidTr="004E1381">
        <w:trPr>
          <w:gridAfter w:val="4"/>
          <w:wAfter w:w="902" w:type="dxa"/>
          <w:trHeight w:val="295"/>
        </w:trPr>
        <w:tc>
          <w:tcPr>
            <w:tcW w:w="3694" w:type="dxa"/>
            <w:tcBorders>
              <w:top w:val="single" w:sz="8" w:space="0" w:color="auto"/>
              <w:left w:val="nil"/>
              <w:bottom w:val="nil"/>
              <w:right w:val="single" w:sz="8" w:space="0" w:color="auto"/>
            </w:tcBorders>
            <w:shd w:val="clear" w:color="000000" w:fill="FFFFFF"/>
            <w:noWrap/>
            <w:vAlign w:val="bottom"/>
            <w:hideMark/>
          </w:tcPr>
          <w:p w14:paraId="341CF9C9"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Wind Turbines (No. 100 kW)</w:t>
            </w:r>
          </w:p>
        </w:tc>
        <w:tc>
          <w:tcPr>
            <w:tcW w:w="266" w:type="dxa"/>
            <w:tcBorders>
              <w:top w:val="single" w:sz="8" w:space="0" w:color="auto"/>
              <w:left w:val="nil"/>
              <w:bottom w:val="nil"/>
              <w:right w:val="nil"/>
            </w:tcBorders>
            <w:shd w:val="clear" w:color="000000" w:fill="FFFFFF"/>
            <w:noWrap/>
            <w:vAlign w:val="bottom"/>
            <w:hideMark/>
          </w:tcPr>
          <w:p w14:paraId="56A75C8D"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single" w:sz="8" w:space="0" w:color="auto"/>
              <w:left w:val="nil"/>
              <w:bottom w:val="nil"/>
              <w:right w:val="nil"/>
            </w:tcBorders>
            <w:shd w:val="clear" w:color="000000" w:fill="FFFFFF"/>
            <w:noWrap/>
            <w:vAlign w:val="bottom"/>
            <w:hideMark/>
          </w:tcPr>
          <w:p w14:paraId="6D966077" w14:textId="77777777" w:rsidR="00AF0375" w:rsidRPr="004E1381" w:rsidRDefault="00AF0375" w:rsidP="009D0470">
            <w:pPr>
              <w:jc w:val="right"/>
              <w:rPr>
                <w:rFonts w:ascii="Calibri" w:hAnsi="Calibri"/>
                <w:color w:val="000000"/>
                <w:sz w:val="20"/>
                <w:szCs w:val="20"/>
              </w:rPr>
            </w:pPr>
            <w:r w:rsidRPr="004E1381">
              <w:rPr>
                <w:rFonts w:ascii="Calibri" w:hAnsi="Calibri"/>
                <w:color w:val="000000"/>
                <w:sz w:val="20"/>
                <w:szCs w:val="20"/>
              </w:rPr>
              <w:t>1</w:t>
            </w:r>
          </w:p>
        </w:tc>
        <w:tc>
          <w:tcPr>
            <w:tcW w:w="0" w:type="auto"/>
            <w:tcBorders>
              <w:top w:val="single" w:sz="8" w:space="0" w:color="auto"/>
              <w:left w:val="nil"/>
              <w:bottom w:val="nil"/>
              <w:right w:val="nil"/>
            </w:tcBorders>
            <w:shd w:val="clear" w:color="000000" w:fill="FFFFFF"/>
            <w:noWrap/>
            <w:vAlign w:val="bottom"/>
            <w:hideMark/>
          </w:tcPr>
          <w:p w14:paraId="3CFFADDE" w14:textId="77777777" w:rsidR="00AF0375" w:rsidRPr="004E1381" w:rsidRDefault="00AF0375" w:rsidP="009D0470">
            <w:pPr>
              <w:jc w:val="right"/>
              <w:rPr>
                <w:rFonts w:ascii="Calibri" w:hAnsi="Calibri"/>
                <w:color w:val="000000"/>
                <w:sz w:val="20"/>
                <w:szCs w:val="20"/>
              </w:rPr>
            </w:pPr>
            <w:r w:rsidRPr="004E1381">
              <w:rPr>
                <w:rFonts w:ascii="Calibri" w:hAnsi="Calibri"/>
                <w:color w:val="000000"/>
                <w:sz w:val="20"/>
                <w:szCs w:val="20"/>
              </w:rPr>
              <w:t>3</w:t>
            </w:r>
          </w:p>
        </w:tc>
        <w:tc>
          <w:tcPr>
            <w:tcW w:w="0" w:type="auto"/>
            <w:tcBorders>
              <w:top w:val="single" w:sz="8" w:space="0" w:color="auto"/>
              <w:left w:val="nil"/>
              <w:bottom w:val="nil"/>
              <w:right w:val="nil"/>
            </w:tcBorders>
            <w:shd w:val="clear" w:color="000000" w:fill="FFFFFF"/>
            <w:noWrap/>
            <w:vAlign w:val="bottom"/>
            <w:hideMark/>
          </w:tcPr>
          <w:p w14:paraId="37BDE235" w14:textId="77777777" w:rsidR="00AF0375" w:rsidRPr="004E1381" w:rsidRDefault="00AF0375" w:rsidP="009D0470">
            <w:pPr>
              <w:jc w:val="right"/>
              <w:rPr>
                <w:rFonts w:ascii="Calibri" w:hAnsi="Calibri"/>
                <w:color w:val="000000"/>
                <w:sz w:val="20"/>
                <w:szCs w:val="20"/>
              </w:rPr>
            </w:pPr>
            <w:r w:rsidRPr="004E1381">
              <w:rPr>
                <w:rFonts w:ascii="Calibri" w:hAnsi="Calibri"/>
                <w:color w:val="000000"/>
                <w:sz w:val="20"/>
                <w:szCs w:val="20"/>
              </w:rPr>
              <w:t>5</w:t>
            </w:r>
          </w:p>
        </w:tc>
        <w:tc>
          <w:tcPr>
            <w:tcW w:w="0" w:type="auto"/>
            <w:tcBorders>
              <w:top w:val="single" w:sz="8" w:space="0" w:color="auto"/>
              <w:left w:val="nil"/>
              <w:bottom w:val="nil"/>
              <w:right w:val="nil"/>
            </w:tcBorders>
            <w:shd w:val="clear" w:color="000000" w:fill="FFFFFF"/>
            <w:noWrap/>
            <w:vAlign w:val="bottom"/>
            <w:hideMark/>
          </w:tcPr>
          <w:p w14:paraId="0A9BECD0" w14:textId="77777777" w:rsidR="00AF0375" w:rsidRPr="004E1381" w:rsidRDefault="00AF0375" w:rsidP="009D0470">
            <w:pPr>
              <w:jc w:val="right"/>
              <w:rPr>
                <w:rFonts w:ascii="Calibri" w:hAnsi="Calibri"/>
                <w:color w:val="000000"/>
                <w:sz w:val="20"/>
                <w:szCs w:val="20"/>
              </w:rPr>
            </w:pPr>
            <w:r w:rsidRPr="004E1381">
              <w:rPr>
                <w:rFonts w:ascii="Calibri" w:hAnsi="Calibri"/>
                <w:color w:val="000000"/>
                <w:sz w:val="20"/>
                <w:szCs w:val="20"/>
              </w:rPr>
              <w:t>8</w:t>
            </w:r>
          </w:p>
        </w:tc>
      </w:tr>
      <w:tr w:rsidR="00AF0375" w:rsidRPr="00D16840" w14:paraId="7E1A8DB1" w14:textId="77777777" w:rsidTr="004E1381">
        <w:trPr>
          <w:gridAfter w:val="4"/>
          <w:wAfter w:w="902" w:type="dxa"/>
          <w:trHeight w:val="126"/>
        </w:trPr>
        <w:tc>
          <w:tcPr>
            <w:tcW w:w="3694" w:type="dxa"/>
            <w:tcBorders>
              <w:top w:val="nil"/>
              <w:left w:val="nil"/>
              <w:bottom w:val="nil"/>
              <w:right w:val="single" w:sz="8" w:space="0" w:color="auto"/>
            </w:tcBorders>
            <w:shd w:val="clear" w:color="000000" w:fill="FFFFFF"/>
            <w:noWrap/>
            <w:vAlign w:val="bottom"/>
            <w:hideMark/>
          </w:tcPr>
          <w:p w14:paraId="059ABF76"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Installed Capital Cost ($/Turbine)</w:t>
            </w:r>
          </w:p>
        </w:tc>
        <w:tc>
          <w:tcPr>
            <w:tcW w:w="266" w:type="dxa"/>
            <w:tcBorders>
              <w:top w:val="nil"/>
              <w:left w:val="nil"/>
              <w:bottom w:val="nil"/>
              <w:right w:val="nil"/>
            </w:tcBorders>
            <w:shd w:val="clear" w:color="000000" w:fill="FFFFFF"/>
            <w:noWrap/>
            <w:vAlign w:val="bottom"/>
            <w:hideMark/>
          </w:tcPr>
          <w:p w14:paraId="1CAFB9F5"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1C7DA64D"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900,000 </w:t>
            </w:r>
          </w:p>
        </w:tc>
        <w:tc>
          <w:tcPr>
            <w:tcW w:w="0" w:type="auto"/>
            <w:tcBorders>
              <w:top w:val="nil"/>
              <w:left w:val="nil"/>
              <w:bottom w:val="nil"/>
              <w:right w:val="nil"/>
            </w:tcBorders>
            <w:shd w:val="clear" w:color="000000" w:fill="FFFFFF"/>
            <w:noWrap/>
            <w:vAlign w:val="bottom"/>
            <w:hideMark/>
          </w:tcPr>
          <w:p w14:paraId="1B619797"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731,667 </w:t>
            </w:r>
          </w:p>
        </w:tc>
        <w:tc>
          <w:tcPr>
            <w:tcW w:w="0" w:type="auto"/>
            <w:tcBorders>
              <w:top w:val="nil"/>
              <w:left w:val="nil"/>
              <w:bottom w:val="nil"/>
              <w:right w:val="nil"/>
            </w:tcBorders>
            <w:shd w:val="clear" w:color="000000" w:fill="FFFFFF"/>
            <w:noWrap/>
            <w:vAlign w:val="bottom"/>
            <w:hideMark/>
          </w:tcPr>
          <w:p w14:paraId="0A013781"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670,000 </w:t>
            </w:r>
          </w:p>
        </w:tc>
        <w:tc>
          <w:tcPr>
            <w:tcW w:w="0" w:type="auto"/>
            <w:tcBorders>
              <w:top w:val="nil"/>
              <w:left w:val="nil"/>
              <w:bottom w:val="nil"/>
              <w:right w:val="nil"/>
            </w:tcBorders>
            <w:shd w:val="clear" w:color="000000" w:fill="FFFFFF"/>
            <w:noWrap/>
            <w:vAlign w:val="bottom"/>
            <w:hideMark/>
          </w:tcPr>
          <w:p w14:paraId="6BBAF374"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628,750 </w:t>
            </w:r>
          </w:p>
        </w:tc>
      </w:tr>
      <w:tr w:rsidR="00AF0375" w:rsidRPr="00D16840" w14:paraId="2BA0261B" w14:textId="77777777" w:rsidTr="004E1381">
        <w:trPr>
          <w:gridAfter w:val="4"/>
          <w:wAfter w:w="902" w:type="dxa"/>
          <w:trHeight w:val="126"/>
        </w:trPr>
        <w:tc>
          <w:tcPr>
            <w:tcW w:w="3694" w:type="dxa"/>
            <w:tcBorders>
              <w:top w:val="nil"/>
              <w:left w:val="nil"/>
              <w:bottom w:val="nil"/>
              <w:right w:val="single" w:sz="8" w:space="0" w:color="auto"/>
            </w:tcBorders>
            <w:shd w:val="clear" w:color="000000" w:fill="FFFFFF"/>
            <w:noWrap/>
            <w:vAlign w:val="bottom"/>
            <w:hideMark/>
          </w:tcPr>
          <w:p w14:paraId="5BBAB683"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O&amp;M ($/kW)</w:t>
            </w:r>
          </w:p>
        </w:tc>
        <w:tc>
          <w:tcPr>
            <w:tcW w:w="266" w:type="dxa"/>
            <w:tcBorders>
              <w:top w:val="nil"/>
              <w:left w:val="nil"/>
              <w:bottom w:val="nil"/>
              <w:right w:val="nil"/>
            </w:tcBorders>
            <w:shd w:val="clear" w:color="000000" w:fill="FFFFFF"/>
            <w:noWrap/>
            <w:vAlign w:val="bottom"/>
            <w:hideMark/>
          </w:tcPr>
          <w:p w14:paraId="24F89922"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70176326"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175 </w:t>
            </w:r>
          </w:p>
        </w:tc>
        <w:tc>
          <w:tcPr>
            <w:tcW w:w="0" w:type="auto"/>
            <w:tcBorders>
              <w:top w:val="nil"/>
              <w:left w:val="nil"/>
              <w:bottom w:val="nil"/>
              <w:right w:val="nil"/>
            </w:tcBorders>
            <w:shd w:val="clear" w:color="000000" w:fill="FFFFFF"/>
            <w:noWrap/>
            <w:vAlign w:val="bottom"/>
            <w:hideMark/>
          </w:tcPr>
          <w:p w14:paraId="4C4392AE"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166 </w:t>
            </w:r>
          </w:p>
        </w:tc>
        <w:tc>
          <w:tcPr>
            <w:tcW w:w="0" w:type="auto"/>
            <w:tcBorders>
              <w:top w:val="nil"/>
              <w:left w:val="nil"/>
              <w:bottom w:val="nil"/>
              <w:right w:val="nil"/>
            </w:tcBorders>
            <w:shd w:val="clear" w:color="000000" w:fill="FFFFFF"/>
            <w:noWrap/>
            <w:vAlign w:val="bottom"/>
            <w:hideMark/>
          </w:tcPr>
          <w:p w14:paraId="575EEA03"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158 </w:t>
            </w:r>
          </w:p>
        </w:tc>
        <w:tc>
          <w:tcPr>
            <w:tcW w:w="0" w:type="auto"/>
            <w:tcBorders>
              <w:top w:val="nil"/>
              <w:left w:val="nil"/>
              <w:bottom w:val="nil"/>
              <w:right w:val="nil"/>
            </w:tcBorders>
            <w:shd w:val="clear" w:color="000000" w:fill="FFFFFF"/>
            <w:noWrap/>
            <w:vAlign w:val="bottom"/>
            <w:hideMark/>
          </w:tcPr>
          <w:p w14:paraId="6F4455E5"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151 </w:t>
            </w:r>
          </w:p>
        </w:tc>
      </w:tr>
      <w:tr w:rsidR="00AF0375" w:rsidRPr="00D16840" w14:paraId="222E5367" w14:textId="77777777" w:rsidTr="004E1381">
        <w:trPr>
          <w:gridAfter w:val="4"/>
          <w:wAfter w:w="902" w:type="dxa"/>
          <w:trHeight w:val="216"/>
        </w:trPr>
        <w:tc>
          <w:tcPr>
            <w:tcW w:w="3694" w:type="dxa"/>
            <w:tcBorders>
              <w:top w:val="nil"/>
              <w:left w:val="nil"/>
              <w:bottom w:val="single" w:sz="8" w:space="0" w:color="auto"/>
              <w:right w:val="single" w:sz="8" w:space="0" w:color="auto"/>
            </w:tcBorders>
            <w:shd w:val="clear" w:color="000000" w:fill="FFFFFF"/>
            <w:noWrap/>
            <w:vAlign w:val="bottom"/>
            <w:hideMark/>
          </w:tcPr>
          <w:p w14:paraId="39E2B3A6"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Lifetime (years)</w:t>
            </w:r>
          </w:p>
        </w:tc>
        <w:tc>
          <w:tcPr>
            <w:tcW w:w="266" w:type="dxa"/>
            <w:tcBorders>
              <w:top w:val="nil"/>
              <w:left w:val="nil"/>
              <w:bottom w:val="single" w:sz="8" w:space="0" w:color="auto"/>
              <w:right w:val="nil"/>
            </w:tcBorders>
            <w:shd w:val="clear" w:color="000000" w:fill="FFFFFF"/>
            <w:noWrap/>
            <w:vAlign w:val="bottom"/>
            <w:hideMark/>
          </w:tcPr>
          <w:p w14:paraId="4912B8FA"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single" w:sz="8" w:space="0" w:color="auto"/>
              <w:right w:val="nil"/>
            </w:tcBorders>
            <w:shd w:val="clear" w:color="000000" w:fill="FFFFFF"/>
            <w:noWrap/>
            <w:vAlign w:val="bottom"/>
            <w:hideMark/>
          </w:tcPr>
          <w:p w14:paraId="6E4F2835"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20 </w:t>
            </w:r>
          </w:p>
        </w:tc>
        <w:tc>
          <w:tcPr>
            <w:tcW w:w="0" w:type="auto"/>
            <w:tcBorders>
              <w:top w:val="nil"/>
              <w:left w:val="nil"/>
              <w:bottom w:val="single" w:sz="8" w:space="0" w:color="auto"/>
              <w:right w:val="nil"/>
            </w:tcBorders>
            <w:shd w:val="clear" w:color="000000" w:fill="FFFFFF"/>
            <w:noWrap/>
            <w:vAlign w:val="bottom"/>
            <w:hideMark/>
          </w:tcPr>
          <w:p w14:paraId="6DC66DD7"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20 </w:t>
            </w:r>
          </w:p>
        </w:tc>
        <w:tc>
          <w:tcPr>
            <w:tcW w:w="0" w:type="auto"/>
            <w:tcBorders>
              <w:top w:val="nil"/>
              <w:left w:val="nil"/>
              <w:bottom w:val="single" w:sz="8" w:space="0" w:color="auto"/>
              <w:right w:val="nil"/>
            </w:tcBorders>
            <w:shd w:val="clear" w:color="000000" w:fill="FFFFFF"/>
            <w:noWrap/>
            <w:vAlign w:val="bottom"/>
            <w:hideMark/>
          </w:tcPr>
          <w:p w14:paraId="7070C338"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20 </w:t>
            </w:r>
          </w:p>
        </w:tc>
        <w:tc>
          <w:tcPr>
            <w:tcW w:w="0" w:type="auto"/>
            <w:tcBorders>
              <w:top w:val="nil"/>
              <w:left w:val="nil"/>
              <w:bottom w:val="single" w:sz="8" w:space="0" w:color="auto"/>
              <w:right w:val="nil"/>
            </w:tcBorders>
            <w:shd w:val="clear" w:color="000000" w:fill="FFFFFF"/>
            <w:noWrap/>
            <w:vAlign w:val="bottom"/>
            <w:hideMark/>
          </w:tcPr>
          <w:p w14:paraId="30FE2DC3"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20 </w:t>
            </w:r>
          </w:p>
        </w:tc>
      </w:tr>
      <w:tr w:rsidR="00AF0375" w:rsidRPr="00D16840" w14:paraId="31DD85AE" w14:textId="77777777" w:rsidTr="004E1381">
        <w:trPr>
          <w:gridAfter w:val="4"/>
          <w:wAfter w:w="902" w:type="dxa"/>
          <w:trHeight w:val="48"/>
        </w:trPr>
        <w:tc>
          <w:tcPr>
            <w:tcW w:w="3694" w:type="dxa"/>
            <w:tcBorders>
              <w:top w:val="nil"/>
              <w:left w:val="nil"/>
              <w:bottom w:val="nil"/>
              <w:right w:val="single" w:sz="8" w:space="0" w:color="auto"/>
            </w:tcBorders>
            <w:shd w:val="clear" w:color="000000" w:fill="FFFFFF"/>
            <w:noWrap/>
            <w:vAlign w:val="bottom"/>
            <w:hideMark/>
          </w:tcPr>
          <w:p w14:paraId="66426DC8"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Solar PV kW</w:t>
            </w:r>
          </w:p>
        </w:tc>
        <w:tc>
          <w:tcPr>
            <w:tcW w:w="266" w:type="dxa"/>
            <w:tcBorders>
              <w:top w:val="nil"/>
              <w:left w:val="nil"/>
              <w:bottom w:val="nil"/>
              <w:right w:val="nil"/>
            </w:tcBorders>
            <w:shd w:val="clear" w:color="000000" w:fill="FFFFFF"/>
            <w:noWrap/>
            <w:vAlign w:val="bottom"/>
            <w:hideMark/>
          </w:tcPr>
          <w:p w14:paraId="1D7A89EB"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0109C44E"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100 </w:t>
            </w:r>
          </w:p>
        </w:tc>
        <w:tc>
          <w:tcPr>
            <w:tcW w:w="0" w:type="auto"/>
            <w:tcBorders>
              <w:top w:val="nil"/>
              <w:left w:val="nil"/>
              <w:bottom w:val="nil"/>
              <w:right w:val="nil"/>
            </w:tcBorders>
            <w:shd w:val="clear" w:color="000000" w:fill="FFFFFF"/>
            <w:noWrap/>
            <w:vAlign w:val="bottom"/>
            <w:hideMark/>
          </w:tcPr>
          <w:p w14:paraId="6EBCA632"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300 </w:t>
            </w:r>
          </w:p>
        </w:tc>
        <w:tc>
          <w:tcPr>
            <w:tcW w:w="0" w:type="auto"/>
            <w:tcBorders>
              <w:top w:val="nil"/>
              <w:left w:val="nil"/>
              <w:bottom w:val="nil"/>
              <w:right w:val="nil"/>
            </w:tcBorders>
            <w:shd w:val="clear" w:color="000000" w:fill="FFFFFF"/>
            <w:noWrap/>
            <w:vAlign w:val="bottom"/>
            <w:hideMark/>
          </w:tcPr>
          <w:p w14:paraId="5640BF67"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500 </w:t>
            </w:r>
          </w:p>
        </w:tc>
        <w:tc>
          <w:tcPr>
            <w:tcW w:w="0" w:type="auto"/>
            <w:tcBorders>
              <w:top w:val="nil"/>
              <w:left w:val="nil"/>
              <w:bottom w:val="nil"/>
              <w:right w:val="nil"/>
            </w:tcBorders>
            <w:shd w:val="clear" w:color="000000" w:fill="FFFFFF"/>
            <w:noWrap/>
            <w:vAlign w:val="bottom"/>
            <w:hideMark/>
          </w:tcPr>
          <w:p w14:paraId="0CFBC5BC"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800 </w:t>
            </w:r>
          </w:p>
        </w:tc>
      </w:tr>
      <w:tr w:rsidR="00AF0375" w:rsidRPr="00D16840" w14:paraId="2DFCFD32" w14:textId="77777777" w:rsidTr="004E1381">
        <w:trPr>
          <w:gridAfter w:val="4"/>
          <w:wAfter w:w="902" w:type="dxa"/>
          <w:trHeight w:val="68"/>
        </w:trPr>
        <w:tc>
          <w:tcPr>
            <w:tcW w:w="3694" w:type="dxa"/>
            <w:tcBorders>
              <w:top w:val="nil"/>
              <w:left w:val="nil"/>
              <w:bottom w:val="nil"/>
              <w:right w:val="single" w:sz="8" w:space="0" w:color="auto"/>
            </w:tcBorders>
            <w:shd w:val="clear" w:color="000000" w:fill="FFFFFF"/>
            <w:noWrap/>
            <w:vAlign w:val="bottom"/>
            <w:hideMark/>
          </w:tcPr>
          <w:p w14:paraId="1A5E2986"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Installed Capital Cost ($/kW)</w:t>
            </w:r>
          </w:p>
        </w:tc>
        <w:tc>
          <w:tcPr>
            <w:tcW w:w="266" w:type="dxa"/>
            <w:tcBorders>
              <w:top w:val="nil"/>
              <w:left w:val="nil"/>
              <w:bottom w:val="nil"/>
              <w:right w:val="nil"/>
            </w:tcBorders>
            <w:shd w:val="clear" w:color="000000" w:fill="FFFFFF"/>
            <w:noWrap/>
            <w:vAlign w:val="bottom"/>
            <w:hideMark/>
          </w:tcPr>
          <w:p w14:paraId="296BADD5"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22F8880B"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5,000 </w:t>
            </w:r>
          </w:p>
        </w:tc>
        <w:tc>
          <w:tcPr>
            <w:tcW w:w="0" w:type="auto"/>
            <w:tcBorders>
              <w:top w:val="nil"/>
              <w:left w:val="nil"/>
              <w:bottom w:val="nil"/>
              <w:right w:val="nil"/>
            </w:tcBorders>
            <w:shd w:val="clear" w:color="000000" w:fill="FFFFFF"/>
            <w:noWrap/>
            <w:vAlign w:val="bottom"/>
            <w:hideMark/>
          </w:tcPr>
          <w:p w14:paraId="3387C24C"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5,000 </w:t>
            </w:r>
          </w:p>
        </w:tc>
        <w:tc>
          <w:tcPr>
            <w:tcW w:w="0" w:type="auto"/>
            <w:tcBorders>
              <w:top w:val="nil"/>
              <w:left w:val="nil"/>
              <w:bottom w:val="nil"/>
              <w:right w:val="nil"/>
            </w:tcBorders>
            <w:shd w:val="clear" w:color="000000" w:fill="FFFFFF"/>
            <w:noWrap/>
            <w:vAlign w:val="bottom"/>
            <w:hideMark/>
          </w:tcPr>
          <w:p w14:paraId="7A35AF34"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5,000 </w:t>
            </w:r>
          </w:p>
        </w:tc>
        <w:tc>
          <w:tcPr>
            <w:tcW w:w="0" w:type="auto"/>
            <w:tcBorders>
              <w:top w:val="nil"/>
              <w:left w:val="nil"/>
              <w:bottom w:val="nil"/>
              <w:right w:val="nil"/>
            </w:tcBorders>
            <w:shd w:val="clear" w:color="000000" w:fill="FFFFFF"/>
            <w:noWrap/>
            <w:vAlign w:val="bottom"/>
            <w:hideMark/>
          </w:tcPr>
          <w:p w14:paraId="788F56AC"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5,000 </w:t>
            </w:r>
          </w:p>
        </w:tc>
      </w:tr>
      <w:tr w:rsidR="00AF0375" w:rsidRPr="00D16840" w14:paraId="651913AF" w14:textId="77777777" w:rsidTr="004E1381">
        <w:trPr>
          <w:gridAfter w:val="4"/>
          <w:wAfter w:w="902" w:type="dxa"/>
          <w:trHeight w:val="117"/>
        </w:trPr>
        <w:tc>
          <w:tcPr>
            <w:tcW w:w="3694" w:type="dxa"/>
            <w:tcBorders>
              <w:top w:val="nil"/>
              <w:left w:val="nil"/>
              <w:bottom w:val="nil"/>
              <w:right w:val="single" w:sz="8" w:space="0" w:color="auto"/>
            </w:tcBorders>
            <w:shd w:val="clear" w:color="000000" w:fill="FFFFFF"/>
            <w:noWrap/>
            <w:vAlign w:val="bottom"/>
            <w:hideMark/>
          </w:tcPr>
          <w:p w14:paraId="5D8A329E"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Solar PV O&amp;M ($/kW)</w:t>
            </w:r>
          </w:p>
        </w:tc>
        <w:tc>
          <w:tcPr>
            <w:tcW w:w="266" w:type="dxa"/>
            <w:tcBorders>
              <w:top w:val="nil"/>
              <w:left w:val="nil"/>
              <w:bottom w:val="nil"/>
              <w:right w:val="nil"/>
            </w:tcBorders>
            <w:shd w:val="clear" w:color="000000" w:fill="FFFFFF"/>
            <w:noWrap/>
            <w:vAlign w:val="bottom"/>
            <w:hideMark/>
          </w:tcPr>
          <w:p w14:paraId="19C4ADDE"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294EE8A7"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20 </w:t>
            </w:r>
          </w:p>
        </w:tc>
        <w:tc>
          <w:tcPr>
            <w:tcW w:w="0" w:type="auto"/>
            <w:tcBorders>
              <w:top w:val="nil"/>
              <w:left w:val="nil"/>
              <w:bottom w:val="nil"/>
              <w:right w:val="nil"/>
            </w:tcBorders>
            <w:shd w:val="clear" w:color="000000" w:fill="FFFFFF"/>
            <w:noWrap/>
            <w:vAlign w:val="bottom"/>
            <w:hideMark/>
          </w:tcPr>
          <w:p w14:paraId="534021B0"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20 </w:t>
            </w:r>
          </w:p>
        </w:tc>
        <w:tc>
          <w:tcPr>
            <w:tcW w:w="0" w:type="auto"/>
            <w:tcBorders>
              <w:top w:val="nil"/>
              <w:left w:val="nil"/>
              <w:bottom w:val="nil"/>
              <w:right w:val="nil"/>
            </w:tcBorders>
            <w:shd w:val="clear" w:color="000000" w:fill="FFFFFF"/>
            <w:noWrap/>
            <w:vAlign w:val="bottom"/>
            <w:hideMark/>
          </w:tcPr>
          <w:p w14:paraId="5E5940AA"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20 </w:t>
            </w:r>
          </w:p>
        </w:tc>
        <w:tc>
          <w:tcPr>
            <w:tcW w:w="0" w:type="auto"/>
            <w:tcBorders>
              <w:top w:val="nil"/>
              <w:left w:val="nil"/>
              <w:bottom w:val="nil"/>
              <w:right w:val="nil"/>
            </w:tcBorders>
            <w:shd w:val="clear" w:color="000000" w:fill="FFFFFF"/>
            <w:noWrap/>
            <w:vAlign w:val="bottom"/>
            <w:hideMark/>
          </w:tcPr>
          <w:p w14:paraId="2112B0E5"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20 </w:t>
            </w:r>
          </w:p>
        </w:tc>
      </w:tr>
      <w:tr w:rsidR="00AF0375" w:rsidRPr="00D16840" w14:paraId="7456AA98" w14:textId="77777777" w:rsidTr="004E1381">
        <w:trPr>
          <w:gridAfter w:val="4"/>
          <w:wAfter w:w="902" w:type="dxa"/>
          <w:trHeight w:val="68"/>
        </w:trPr>
        <w:tc>
          <w:tcPr>
            <w:tcW w:w="3694" w:type="dxa"/>
            <w:tcBorders>
              <w:top w:val="nil"/>
              <w:left w:val="nil"/>
              <w:bottom w:val="single" w:sz="8" w:space="0" w:color="auto"/>
              <w:right w:val="single" w:sz="8" w:space="0" w:color="auto"/>
            </w:tcBorders>
            <w:shd w:val="clear" w:color="000000" w:fill="FFFFFF"/>
            <w:noWrap/>
            <w:vAlign w:val="bottom"/>
            <w:hideMark/>
          </w:tcPr>
          <w:p w14:paraId="0E152041"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Lifetime (years)</w:t>
            </w:r>
          </w:p>
        </w:tc>
        <w:tc>
          <w:tcPr>
            <w:tcW w:w="266" w:type="dxa"/>
            <w:tcBorders>
              <w:top w:val="nil"/>
              <w:left w:val="nil"/>
              <w:bottom w:val="single" w:sz="8" w:space="0" w:color="auto"/>
              <w:right w:val="nil"/>
            </w:tcBorders>
            <w:shd w:val="clear" w:color="000000" w:fill="FFFFFF"/>
            <w:noWrap/>
            <w:vAlign w:val="bottom"/>
            <w:hideMark/>
          </w:tcPr>
          <w:p w14:paraId="5B8324DE"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single" w:sz="8" w:space="0" w:color="auto"/>
              <w:right w:val="nil"/>
            </w:tcBorders>
            <w:shd w:val="clear" w:color="000000" w:fill="FFFFFF"/>
            <w:noWrap/>
            <w:vAlign w:val="bottom"/>
            <w:hideMark/>
          </w:tcPr>
          <w:p w14:paraId="512A4EE2"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20 </w:t>
            </w:r>
          </w:p>
        </w:tc>
        <w:tc>
          <w:tcPr>
            <w:tcW w:w="0" w:type="auto"/>
            <w:tcBorders>
              <w:top w:val="nil"/>
              <w:left w:val="nil"/>
              <w:bottom w:val="single" w:sz="8" w:space="0" w:color="auto"/>
              <w:right w:val="nil"/>
            </w:tcBorders>
            <w:shd w:val="clear" w:color="000000" w:fill="FFFFFF"/>
            <w:noWrap/>
            <w:vAlign w:val="bottom"/>
            <w:hideMark/>
          </w:tcPr>
          <w:p w14:paraId="5F212611"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20 </w:t>
            </w:r>
          </w:p>
        </w:tc>
        <w:tc>
          <w:tcPr>
            <w:tcW w:w="0" w:type="auto"/>
            <w:tcBorders>
              <w:top w:val="nil"/>
              <w:left w:val="nil"/>
              <w:bottom w:val="single" w:sz="8" w:space="0" w:color="auto"/>
              <w:right w:val="nil"/>
            </w:tcBorders>
            <w:shd w:val="clear" w:color="000000" w:fill="FFFFFF"/>
            <w:noWrap/>
            <w:vAlign w:val="bottom"/>
            <w:hideMark/>
          </w:tcPr>
          <w:p w14:paraId="15BE3E95"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20 </w:t>
            </w:r>
          </w:p>
        </w:tc>
        <w:tc>
          <w:tcPr>
            <w:tcW w:w="0" w:type="auto"/>
            <w:tcBorders>
              <w:top w:val="nil"/>
              <w:left w:val="nil"/>
              <w:bottom w:val="single" w:sz="8" w:space="0" w:color="auto"/>
              <w:right w:val="nil"/>
            </w:tcBorders>
            <w:shd w:val="clear" w:color="000000" w:fill="FFFFFF"/>
            <w:noWrap/>
            <w:vAlign w:val="bottom"/>
            <w:hideMark/>
          </w:tcPr>
          <w:p w14:paraId="3E739CE4"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20 </w:t>
            </w:r>
          </w:p>
        </w:tc>
      </w:tr>
      <w:tr w:rsidR="00AF0375" w:rsidRPr="00D16840" w14:paraId="54C86675" w14:textId="77777777" w:rsidTr="004E1381">
        <w:trPr>
          <w:gridAfter w:val="4"/>
          <w:wAfter w:w="902" w:type="dxa"/>
          <w:trHeight w:val="286"/>
        </w:trPr>
        <w:tc>
          <w:tcPr>
            <w:tcW w:w="3694" w:type="dxa"/>
            <w:tcBorders>
              <w:top w:val="nil"/>
              <w:left w:val="nil"/>
              <w:bottom w:val="nil"/>
              <w:right w:val="single" w:sz="8" w:space="0" w:color="auto"/>
            </w:tcBorders>
            <w:shd w:val="clear" w:color="000000" w:fill="FFFFFF"/>
            <w:noWrap/>
            <w:vAlign w:val="bottom"/>
            <w:hideMark/>
          </w:tcPr>
          <w:p w14:paraId="3BDB8C45"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Batteries (kW)</w:t>
            </w:r>
          </w:p>
        </w:tc>
        <w:tc>
          <w:tcPr>
            <w:tcW w:w="266" w:type="dxa"/>
            <w:tcBorders>
              <w:top w:val="nil"/>
              <w:left w:val="nil"/>
              <w:bottom w:val="nil"/>
              <w:right w:val="nil"/>
            </w:tcBorders>
            <w:shd w:val="clear" w:color="000000" w:fill="FFFFFF"/>
            <w:noWrap/>
            <w:vAlign w:val="bottom"/>
            <w:hideMark/>
          </w:tcPr>
          <w:p w14:paraId="70A10110"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6BB2C662"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200 </w:t>
            </w:r>
          </w:p>
        </w:tc>
        <w:tc>
          <w:tcPr>
            <w:tcW w:w="0" w:type="auto"/>
            <w:tcBorders>
              <w:top w:val="nil"/>
              <w:left w:val="nil"/>
              <w:bottom w:val="nil"/>
              <w:right w:val="nil"/>
            </w:tcBorders>
            <w:shd w:val="clear" w:color="000000" w:fill="FFFFFF"/>
            <w:noWrap/>
            <w:vAlign w:val="bottom"/>
            <w:hideMark/>
          </w:tcPr>
          <w:p w14:paraId="44719C4E"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400 </w:t>
            </w:r>
          </w:p>
        </w:tc>
        <w:tc>
          <w:tcPr>
            <w:tcW w:w="0" w:type="auto"/>
            <w:tcBorders>
              <w:top w:val="nil"/>
              <w:left w:val="nil"/>
              <w:bottom w:val="nil"/>
              <w:right w:val="nil"/>
            </w:tcBorders>
            <w:shd w:val="clear" w:color="000000" w:fill="FFFFFF"/>
            <w:noWrap/>
            <w:vAlign w:val="bottom"/>
            <w:hideMark/>
          </w:tcPr>
          <w:p w14:paraId="55863C2B"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19BF23AD"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r>
      <w:tr w:rsidR="00AF0375" w:rsidRPr="00D16840" w14:paraId="3E76D093" w14:textId="77777777" w:rsidTr="004E1381">
        <w:trPr>
          <w:gridAfter w:val="4"/>
          <w:wAfter w:w="902" w:type="dxa"/>
          <w:trHeight w:val="189"/>
        </w:trPr>
        <w:tc>
          <w:tcPr>
            <w:tcW w:w="3694" w:type="dxa"/>
            <w:tcBorders>
              <w:top w:val="nil"/>
              <w:left w:val="nil"/>
              <w:bottom w:val="nil"/>
              <w:right w:val="single" w:sz="8" w:space="0" w:color="auto"/>
            </w:tcBorders>
            <w:shd w:val="clear" w:color="000000" w:fill="FFFFFF"/>
            <w:noWrap/>
            <w:vAlign w:val="bottom"/>
            <w:hideMark/>
          </w:tcPr>
          <w:p w14:paraId="270F82B4"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Installed Capital Cost ($)</w:t>
            </w:r>
          </w:p>
        </w:tc>
        <w:tc>
          <w:tcPr>
            <w:tcW w:w="266" w:type="dxa"/>
            <w:tcBorders>
              <w:top w:val="nil"/>
              <w:left w:val="nil"/>
              <w:bottom w:val="nil"/>
              <w:right w:val="nil"/>
            </w:tcBorders>
            <w:shd w:val="clear" w:color="000000" w:fill="FFFFFF"/>
            <w:noWrap/>
            <w:vAlign w:val="bottom"/>
            <w:hideMark/>
          </w:tcPr>
          <w:p w14:paraId="1915F1F5"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79F0112D"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190,000 </w:t>
            </w:r>
          </w:p>
        </w:tc>
        <w:tc>
          <w:tcPr>
            <w:tcW w:w="0" w:type="auto"/>
            <w:tcBorders>
              <w:top w:val="nil"/>
              <w:left w:val="nil"/>
              <w:bottom w:val="nil"/>
              <w:right w:val="nil"/>
            </w:tcBorders>
            <w:shd w:val="clear" w:color="000000" w:fill="FFFFFF"/>
            <w:noWrap/>
            <w:vAlign w:val="bottom"/>
            <w:hideMark/>
          </w:tcPr>
          <w:p w14:paraId="09CFEF00"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382,000 </w:t>
            </w:r>
          </w:p>
        </w:tc>
        <w:tc>
          <w:tcPr>
            <w:tcW w:w="0" w:type="auto"/>
            <w:tcBorders>
              <w:top w:val="nil"/>
              <w:left w:val="nil"/>
              <w:bottom w:val="nil"/>
              <w:right w:val="nil"/>
            </w:tcBorders>
            <w:shd w:val="clear" w:color="000000" w:fill="FFFFFF"/>
            <w:noWrap/>
            <w:vAlign w:val="bottom"/>
            <w:hideMark/>
          </w:tcPr>
          <w:p w14:paraId="09108C06"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5AD87E6C"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r>
      <w:tr w:rsidR="00AF0375" w:rsidRPr="00D16840" w14:paraId="1BF060CC" w14:textId="77777777" w:rsidTr="004E1381">
        <w:trPr>
          <w:gridAfter w:val="4"/>
          <w:wAfter w:w="902" w:type="dxa"/>
          <w:trHeight w:val="68"/>
        </w:trPr>
        <w:tc>
          <w:tcPr>
            <w:tcW w:w="3694" w:type="dxa"/>
            <w:tcBorders>
              <w:top w:val="nil"/>
              <w:left w:val="nil"/>
              <w:bottom w:val="nil"/>
              <w:right w:val="single" w:sz="8" w:space="0" w:color="auto"/>
            </w:tcBorders>
            <w:shd w:val="clear" w:color="000000" w:fill="FFFFFF"/>
            <w:noWrap/>
            <w:vAlign w:val="bottom"/>
            <w:hideMark/>
          </w:tcPr>
          <w:p w14:paraId="6F2C5AFC"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Battery Replacement Cost ($)</w:t>
            </w:r>
          </w:p>
        </w:tc>
        <w:tc>
          <w:tcPr>
            <w:tcW w:w="266" w:type="dxa"/>
            <w:tcBorders>
              <w:top w:val="nil"/>
              <w:left w:val="nil"/>
              <w:bottom w:val="nil"/>
              <w:right w:val="nil"/>
            </w:tcBorders>
            <w:shd w:val="clear" w:color="000000" w:fill="FFFFFF"/>
            <w:noWrap/>
            <w:vAlign w:val="bottom"/>
            <w:hideMark/>
          </w:tcPr>
          <w:p w14:paraId="13AB6F9C"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32E5631A"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142,000 </w:t>
            </w:r>
          </w:p>
        </w:tc>
        <w:tc>
          <w:tcPr>
            <w:tcW w:w="0" w:type="auto"/>
            <w:tcBorders>
              <w:top w:val="nil"/>
              <w:left w:val="nil"/>
              <w:bottom w:val="nil"/>
              <w:right w:val="nil"/>
            </w:tcBorders>
            <w:shd w:val="clear" w:color="000000" w:fill="FFFFFF"/>
            <w:noWrap/>
            <w:vAlign w:val="bottom"/>
            <w:hideMark/>
          </w:tcPr>
          <w:p w14:paraId="2517B576"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178,500 </w:t>
            </w:r>
          </w:p>
        </w:tc>
        <w:tc>
          <w:tcPr>
            <w:tcW w:w="0" w:type="auto"/>
            <w:tcBorders>
              <w:top w:val="nil"/>
              <w:left w:val="nil"/>
              <w:bottom w:val="nil"/>
              <w:right w:val="nil"/>
            </w:tcBorders>
            <w:shd w:val="clear" w:color="000000" w:fill="FFFFFF"/>
            <w:noWrap/>
            <w:vAlign w:val="bottom"/>
            <w:hideMark/>
          </w:tcPr>
          <w:p w14:paraId="1999419E"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27770465"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r>
      <w:tr w:rsidR="00AF0375" w:rsidRPr="00D16840" w14:paraId="5A74AE48" w14:textId="77777777" w:rsidTr="004E1381">
        <w:trPr>
          <w:gridAfter w:val="4"/>
          <w:wAfter w:w="902" w:type="dxa"/>
          <w:trHeight w:val="117"/>
        </w:trPr>
        <w:tc>
          <w:tcPr>
            <w:tcW w:w="3694" w:type="dxa"/>
            <w:tcBorders>
              <w:top w:val="nil"/>
              <w:left w:val="nil"/>
              <w:bottom w:val="nil"/>
              <w:right w:val="single" w:sz="8" w:space="0" w:color="auto"/>
            </w:tcBorders>
            <w:shd w:val="clear" w:color="000000" w:fill="FFFFFF"/>
            <w:noWrap/>
            <w:vAlign w:val="bottom"/>
            <w:hideMark/>
          </w:tcPr>
          <w:p w14:paraId="6FBE3E3C"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Batteries O&amp;M ($/year)</w:t>
            </w:r>
          </w:p>
        </w:tc>
        <w:tc>
          <w:tcPr>
            <w:tcW w:w="266" w:type="dxa"/>
            <w:tcBorders>
              <w:top w:val="nil"/>
              <w:left w:val="nil"/>
              <w:bottom w:val="nil"/>
              <w:right w:val="nil"/>
            </w:tcBorders>
            <w:shd w:val="clear" w:color="000000" w:fill="FFFFFF"/>
            <w:noWrap/>
            <w:vAlign w:val="bottom"/>
            <w:hideMark/>
          </w:tcPr>
          <w:p w14:paraId="7066729D"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2547E3C1"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4,000 </w:t>
            </w:r>
          </w:p>
        </w:tc>
        <w:tc>
          <w:tcPr>
            <w:tcW w:w="0" w:type="auto"/>
            <w:tcBorders>
              <w:top w:val="nil"/>
              <w:left w:val="nil"/>
              <w:bottom w:val="nil"/>
              <w:right w:val="nil"/>
            </w:tcBorders>
            <w:shd w:val="clear" w:color="000000" w:fill="FFFFFF"/>
            <w:noWrap/>
            <w:vAlign w:val="bottom"/>
            <w:hideMark/>
          </w:tcPr>
          <w:p w14:paraId="51F91A2F"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6,000 </w:t>
            </w:r>
          </w:p>
        </w:tc>
        <w:tc>
          <w:tcPr>
            <w:tcW w:w="0" w:type="auto"/>
            <w:tcBorders>
              <w:top w:val="nil"/>
              <w:left w:val="nil"/>
              <w:bottom w:val="nil"/>
              <w:right w:val="nil"/>
            </w:tcBorders>
            <w:shd w:val="clear" w:color="000000" w:fill="FFFFFF"/>
            <w:noWrap/>
            <w:vAlign w:val="bottom"/>
            <w:hideMark/>
          </w:tcPr>
          <w:p w14:paraId="5C6E6A51"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12F19F30"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r>
      <w:tr w:rsidR="00AF0375" w:rsidRPr="00D16840" w14:paraId="7EC80D2C" w14:textId="77777777" w:rsidTr="004E1381">
        <w:trPr>
          <w:gridAfter w:val="4"/>
          <w:wAfter w:w="902" w:type="dxa"/>
          <w:trHeight w:val="68"/>
        </w:trPr>
        <w:tc>
          <w:tcPr>
            <w:tcW w:w="3694" w:type="dxa"/>
            <w:tcBorders>
              <w:top w:val="nil"/>
              <w:left w:val="nil"/>
              <w:bottom w:val="single" w:sz="8" w:space="0" w:color="auto"/>
              <w:right w:val="single" w:sz="8" w:space="0" w:color="auto"/>
            </w:tcBorders>
            <w:shd w:val="clear" w:color="000000" w:fill="FFFFFF"/>
            <w:noWrap/>
            <w:vAlign w:val="bottom"/>
            <w:hideMark/>
          </w:tcPr>
          <w:p w14:paraId="494EE2B0"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Lifetime (Number of Cycles)</w:t>
            </w:r>
          </w:p>
        </w:tc>
        <w:tc>
          <w:tcPr>
            <w:tcW w:w="266" w:type="dxa"/>
            <w:tcBorders>
              <w:top w:val="nil"/>
              <w:left w:val="nil"/>
              <w:bottom w:val="single" w:sz="8" w:space="0" w:color="auto"/>
              <w:right w:val="nil"/>
            </w:tcBorders>
            <w:shd w:val="clear" w:color="000000" w:fill="FFFFFF"/>
            <w:noWrap/>
            <w:vAlign w:val="bottom"/>
            <w:hideMark/>
          </w:tcPr>
          <w:p w14:paraId="725B4E4E"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4140" w:type="dxa"/>
            <w:gridSpan w:val="4"/>
            <w:tcBorders>
              <w:top w:val="nil"/>
              <w:left w:val="nil"/>
              <w:bottom w:val="single" w:sz="8" w:space="0" w:color="auto"/>
              <w:right w:val="nil"/>
            </w:tcBorders>
            <w:shd w:val="clear" w:color="000000" w:fill="FFFFFF"/>
            <w:noWrap/>
            <w:vAlign w:val="bottom"/>
            <w:hideMark/>
          </w:tcPr>
          <w:p w14:paraId="33D7F468"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Number of years option dependent</w:t>
            </w:r>
          </w:p>
        </w:tc>
      </w:tr>
      <w:tr w:rsidR="00AF0375" w:rsidRPr="00D16840" w14:paraId="76BFB50B" w14:textId="77777777" w:rsidTr="004E1381">
        <w:trPr>
          <w:trHeight w:val="48"/>
        </w:trPr>
        <w:tc>
          <w:tcPr>
            <w:tcW w:w="3694" w:type="dxa"/>
            <w:tcBorders>
              <w:top w:val="nil"/>
              <w:left w:val="nil"/>
              <w:bottom w:val="nil"/>
              <w:right w:val="single" w:sz="8" w:space="0" w:color="auto"/>
            </w:tcBorders>
            <w:shd w:val="clear" w:color="000000" w:fill="FFFFFF"/>
            <w:noWrap/>
            <w:vAlign w:val="bottom"/>
            <w:hideMark/>
          </w:tcPr>
          <w:p w14:paraId="5BAE578E"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Converter capacity (kW)</w:t>
            </w:r>
          </w:p>
        </w:tc>
        <w:tc>
          <w:tcPr>
            <w:tcW w:w="266" w:type="dxa"/>
            <w:tcBorders>
              <w:top w:val="nil"/>
              <w:left w:val="nil"/>
              <w:bottom w:val="nil"/>
              <w:right w:val="nil"/>
            </w:tcBorders>
            <w:shd w:val="clear" w:color="000000" w:fill="FFFFFF"/>
            <w:noWrap/>
            <w:vAlign w:val="bottom"/>
            <w:hideMark/>
          </w:tcPr>
          <w:p w14:paraId="4A61C51E"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23D3E445"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160 </w:t>
            </w:r>
          </w:p>
        </w:tc>
        <w:tc>
          <w:tcPr>
            <w:tcW w:w="0" w:type="auto"/>
            <w:tcBorders>
              <w:top w:val="nil"/>
              <w:left w:val="nil"/>
              <w:bottom w:val="nil"/>
              <w:right w:val="nil"/>
            </w:tcBorders>
            <w:shd w:val="clear" w:color="000000" w:fill="FFFFFF"/>
            <w:noWrap/>
            <w:vAlign w:val="bottom"/>
            <w:hideMark/>
          </w:tcPr>
          <w:p w14:paraId="12E8F2C7"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320 </w:t>
            </w:r>
          </w:p>
        </w:tc>
        <w:tc>
          <w:tcPr>
            <w:tcW w:w="0" w:type="auto"/>
            <w:tcBorders>
              <w:top w:val="nil"/>
              <w:left w:val="nil"/>
              <w:bottom w:val="nil"/>
              <w:right w:val="nil"/>
            </w:tcBorders>
            <w:shd w:val="clear" w:color="000000" w:fill="FFFFFF"/>
            <w:noWrap/>
            <w:vAlign w:val="bottom"/>
            <w:hideMark/>
          </w:tcPr>
          <w:p w14:paraId="0DB66941"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29F0957E"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236" w:type="dxa"/>
            <w:vAlign w:val="center"/>
            <w:hideMark/>
          </w:tcPr>
          <w:p w14:paraId="0DA3C311" w14:textId="77777777" w:rsidR="00AF0375" w:rsidRPr="00D16840" w:rsidRDefault="00AF0375" w:rsidP="009D0470">
            <w:pPr>
              <w:rPr>
                <w:sz w:val="20"/>
                <w:szCs w:val="20"/>
              </w:rPr>
            </w:pPr>
          </w:p>
        </w:tc>
        <w:tc>
          <w:tcPr>
            <w:tcW w:w="0" w:type="auto"/>
            <w:vAlign w:val="center"/>
            <w:hideMark/>
          </w:tcPr>
          <w:p w14:paraId="5E7F10CE" w14:textId="77777777" w:rsidR="00AF0375" w:rsidRPr="00D16840" w:rsidRDefault="00AF0375" w:rsidP="009D0470">
            <w:pPr>
              <w:rPr>
                <w:sz w:val="20"/>
                <w:szCs w:val="20"/>
              </w:rPr>
            </w:pPr>
          </w:p>
        </w:tc>
        <w:tc>
          <w:tcPr>
            <w:tcW w:w="0" w:type="auto"/>
            <w:vAlign w:val="center"/>
            <w:hideMark/>
          </w:tcPr>
          <w:p w14:paraId="4BB4A06D" w14:textId="77777777" w:rsidR="00AF0375" w:rsidRPr="00D16840" w:rsidRDefault="00AF0375" w:rsidP="009D0470">
            <w:pPr>
              <w:rPr>
                <w:sz w:val="20"/>
                <w:szCs w:val="20"/>
              </w:rPr>
            </w:pPr>
          </w:p>
        </w:tc>
        <w:tc>
          <w:tcPr>
            <w:tcW w:w="222" w:type="dxa"/>
            <w:vAlign w:val="center"/>
            <w:hideMark/>
          </w:tcPr>
          <w:p w14:paraId="6B7B5D85" w14:textId="77777777" w:rsidR="00AF0375" w:rsidRPr="00D16840" w:rsidRDefault="00AF0375" w:rsidP="009D0470">
            <w:pPr>
              <w:rPr>
                <w:sz w:val="20"/>
                <w:szCs w:val="20"/>
              </w:rPr>
            </w:pPr>
          </w:p>
        </w:tc>
      </w:tr>
      <w:tr w:rsidR="00AF0375" w:rsidRPr="00D16840" w14:paraId="28082BA8" w14:textId="77777777" w:rsidTr="004E1381">
        <w:trPr>
          <w:trHeight w:val="180"/>
        </w:trPr>
        <w:tc>
          <w:tcPr>
            <w:tcW w:w="3694" w:type="dxa"/>
            <w:tcBorders>
              <w:top w:val="nil"/>
              <w:left w:val="nil"/>
              <w:bottom w:val="nil"/>
              <w:right w:val="single" w:sz="8" w:space="0" w:color="auto"/>
            </w:tcBorders>
            <w:shd w:val="clear" w:color="000000" w:fill="FFFFFF"/>
            <w:noWrap/>
            <w:vAlign w:val="bottom"/>
            <w:hideMark/>
          </w:tcPr>
          <w:p w14:paraId="33915F68"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Converter Installed Costs ($)</w:t>
            </w:r>
          </w:p>
        </w:tc>
        <w:tc>
          <w:tcPr>
            <w:tcW w:w="266" w:type="dxa"/>
            <w:tcBorders>
              <w:top w:val="nil"/>
              <w:left w:val="nil"/>
              <w:bottom w:val="nil"/>
              <w:right w:val="nil"/>
            </w:tcBorders>
            <w:shd w:val="clear" w:color="000000" w:fill="FFFFFF"/>
            <w:noWrap/>
            <w:vAlign w:val="bottom"/>
            <w:hideMark/>
          </w:tcPr>
          <w:p w14:paraId="6B05EEB9"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5DA41628"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190,000 </w:t>
            </w:r>
          </w:p>
        </w:tc>
        <w:tc>
          <w:tcPr>
            <w:tcW w:w="0" w:type="auto"/>
            <w:tcBorders>
              <w:top w:val="nil"/>
              <w:left w:val="nil"/>
              <w:bottom w:val="nil"/>
              <w:right w:val="nil"/>
            </w:tcBorders>
            <w:shd w:val="clear" w:color="000000" w:fill="FFFFFF"/>
            <w:noWrap/>
            <w:vAlign w:val="bottom"/>
            <w:hideMark/>
          </w:tcPr>
          <w:p w14:paraId="7AF2EC8C"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382,000 </w:t>
            </w:r>
          </w:p>
        </w:tc>
        <w:tc>
          <w:tcPr>
            <w:tcW w:w="0" w:type="auto"/>
            <w:tcBorders>
              <w:top w:val="nil"/>
              <w:left w:val="nil"/>
              <w:bottom w:val="nil"/>
              <w:right w:val="nil"/>
            </w:tcBorders>
            <w:shd w:val="clear" w:color="000000" w:fill="FFFFFF"/>
            <w:noWrap/>
            <w:vAlign w:val="bottom"/>
            <w:hideMark/>
          </w:tcPr>
          <w:p w14:paraId="5469A5E7"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740E703F"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236" w:type="dxa"/>
            <w:vAlign w:val="center"/>
            <w:hideMark/>
          </w:tcPr>
          <w:p w14:paraId="68F51F37" w14:textId="77777777" w:rsidR="00AF0375" w:rsidRPr="00D16840" w:rsidRDefault="00AF0375" w:rsidP="009D0470">
            <w:pPr>
              <w:rPr>
                <w:sz w:val="20"/>
                <w:szCs w:val="20"/>
              </w:rPr>
            </w:pPr>
          </w:p>
        </w:tc>
        <w:tc>
          <w:tcPr>
            <w:tcW w:w="0" w:type="auto"/>
            <w:vAlign w:val="center"/>
            <w:hideMark/>
          </w:tcPr>
          <w:p w14:paraId="1EBB646A" w14:textId="77777777" w:rsidR="00AF0375" w:rsidRPr="00D16840" w:rsidRDefault="00AF0375" w:rsidP="009D0470">
            <w:pPr>
              <w:rPr>
                <w:sz w:val="20"/>
                <w:szCs w:val="20"/>
              </w:rPr>
            </w:pPr>
          </w:p>
        </w:tc>
        <w:tc>
          <w:tcPr>
            <w:tcW w:w="0" w:type="auto"/>
            <w:vAlign w:val="center"/>
            <w:hideMark/>
          </w:tcPr>
          <w:p w14:paraId="1607EB69" w14:textId="77777777" w:rsidR="00AF0375" w:rsidRPr="00D16840" w:rsidRDefault="00AF0375" w:rsidP="009D0470">
            <w:pPr>
              <w:rPr>
                <w:sz w:val="20"/>
                <w:szCs w:val="20"/>
              </w:rPr>
            </w:pPr>
          </w:p>
        </w:tc>
        <w:tc>
          <w:tcPr>
            <w:tcW w:w="222" w:type="dxa"/>
            <w:vAlign w:val="center"/>
            <w:hideMark/>
          </w:tcPr>
          <w:p w14:paraId="48DED7C3" w14:textId="77777777" w:rsidR="00AF0375" w:rsidRPr="00D16840" w:rsidRDefault="00AF0375" w:rsidP="009D0470">
            <w:pPr>
              <w:rPr>
                <w:sz w:val="20"/>
                <w:szCs w:val="20"/>
              </w:rPr>
            </w:pPr>
          </w:p>
        </w:tc>
      </w:tr>
      <w:tr w:rsidR="00AF0375" w:rsidRPr="00D16840" w14:paraId="2CD023EF" w14:textId="77777777" w:rsidTr="004E1381">
        <w:trPr>
          <w:trHeight w:val="180"/>
        </w:trPr>
        <w:tc>
          <w:tcPr>
            <w:tcW w:w="3694" w:type="dxa"/>
            <w:tcBorders>
              <w:top w:val="nil"/>
              <w:left w:val="nil"/>
              <w:bottom w:val="nil"/>
              <w:right w:val="single" w:sz="8" w:space="0" w:color="auto"/>
            </w:tcBorders>
            <w:shd w:val="clear" w:color="000000" w:fill="FFFFFF"/>
            <w:noWrap/>
            <w:vAlign w:val="bottom"/>
            <w:hideMark/>
          </w:tcPr>
          <w:p w14:paraId="5C7FA160" w14:textId="5D002682" w:rsidR="00AF0375" w:rsidRPr="004E1381" w:rsidRDefault="00ED0099" w:rsidP="009D0470">
            <w:pPr>
              <w:rPr>
                <w:rFonts w:ascii="Calibri" w:hAnsi="Calibri"/>
                <w:color w:val="000000"/>
                <w:sz w:val="20"/>
                <w:szCs w:val="20"/>
              </w:rPr>
            </w:pPr>
            <w:r>
              <w:rPr>
                <w:rFonts w:ascii="Calibri" w:hAnsi="Calibri"/>
                <w:color w:val="000000"/>
                <w:sz w:val="20"/>
                <w:szCs w:val="20"/>
              </w:rPr>
              <w:t xml:space="preserve">Replacement </w:t>
            </w:r>
            <w:r w:rsidR="00AF0375" w:rsidRPr="004E1381">
              <w:rPr>
                <w:rFonts w:ascii="Calibri" w:hAnsi="Calibri"/>
                <w:color w:val="000000"/>
                <w:sz w:val="20"/>
                <w:szCs w:val="20"/>
              </w:rPr>
              <w:t>Costs ($)</w:t>
            </w:r>
          </w:p>
        </w:tc>
        <w:tc>
          <w:tcPr>
            <w:tcW w:w="266" w:type="dxa"/>
            <w:tcBorders>
              <w:top w:val="nil"/>
              <w:left w:val="nil"/>
              <w:bottom w:val="nil"/>
              <w:right w:val="nil"/>
            </w:tcBorders>
            <w:shd w:val="clear" w:color="000000" w:fill="FFFFFF"/>
            <w:noWrap/>
            <w:vAlign w:val="bottom"/>
            <w:hideMark/>
          </w:tcPr>
          <w:p w14:paraId="275EB572"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77639A85"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142,000 </w:t>
            </w:r>
          </w:p>
        </w:tc>
        <w:tc>
          <w:tcPr>
            <w:tcW w:w="0" w:type="auto"/>
            <w:tcBorders>
              <w:top w:val="nil"/>
              <w:left w:val="nil"/>
              <w:bottom w:val="nil"/>
              <w:right w:val="nil"/>
            </w:tcBorders>
            <w:shd w:val="clear" w:color="000000" w:fill="FFFFFF"/>
            <w:noWrap/>
            <w:vAlign w:val="bottom"/>
            <w:hideMark/>
          </w:tcPr>
          <w:p w14:paraId="432BE4CA"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178,000 </w:t>
            </w:r>
          </w:p>
        </w:tc>
        <w:tc>
          <w:tcPr>
            <w:tcW w:w="0" w:type="auto"/>
            <w:tcBorders>
              <w:top w:val="nil"/>
              <w:left w:val="nil"/>
              <w:bottom w:val="nil"/>
              <w:right w:val="nil"/>
            </w:tcBorders>
            <w:shd w:val="clear" w:color="000000" w:fill="FFFFFF"/>
            <w:noWrap/>
            <w:vAlign w:val="bottom"/>
            <w:hideMark/>
          </w:tcPr>
          <w:p w14:paraId="05F4F89F"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21F29A12"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236" w:type="dxa"/>
            <w:vAlign w:val="center"/>
            <w:hideMark/>
          </w:tcPr>
          <w:p w14:paraId="730D61C1" w14:textId="77777777" w:rsidR="00AF0375" w:rsidRPr="00D16840" w:rsidRDefault="00AF0375" w:rsidP="009D0470">
            <w:pPr>
              <w:rPr>
                <w:sz w:val="20"/>
                <w:szCs w:val="20"/>
              </w:rPr>
            </w:pPr>
          </w:p>
        </w:tc>
        <w:tc>
          <w:tcPr>
            <w:tcW w:w="0" w:type="auto"/>
            <w:vAlign w:val="center"/>
            <w:hideMark/>
          </w:tcPr>
          <w:p w14:paraId="636C1250" w14:textId="77777777" w:rsidR="00AF0375" w:rsidRPr="00D16840" w:rsidRDefault="00AF0375" w:rsidP="009D0470">
            <w:pPr>
              <w:rPr>
                <w:sz w:val="20"/>
                <w:szCs w:val="20"/>
              </w:rPr>
            </w:pPr>
          </w:p>
        </w:tc>
        <w:tc>
          <w:tcPr>
            <w:tcW w:w="0" w:type="auto"/>
            <w:vAlign w:val="center"/>
            <w:hideMark/>
          </w:tcPr>
          <w:p w14:paraId="440761CD" w14:textId="77777777" w:rsidR="00AF0375" w:rsidRPr="00D16840" w:rsidRDefault="00AF0375" w:rsidP="009D0470">
            <w:pPr>
              <w:rPr>
                <w:sz w:val="20"/>
                <w:szCs w:val="20"/>
              </w:rPr>
            </w:pPr>
          </w:p>
        </w:tc>
        <w:tc>
          <w:tcPr>
            <w:tcW w:w="222" w:type="dxa"/>
            <w:vAlign w:val="center"/>
            <w:hideMark/>
          </w:tcPr>
          <w:p w14:paraId="6A3FCE09" w14:textId="77777777" w:rsidR="00AF0375" w:rsidRPr="00D16840" w:rsidRDefault="00AF0375" w:rsidP="009D0470">
            <w:pPr>
              <w:rPr>
                <w:sz w:val="20"/>
                <w:szCs w:val="20"/>
              </w:rPr>
            </w:pPr>
          </w:p>
        </w:tc>
      </w:tr>
      <w:tr w:rsidR="00AF0375" w:rsidRPr="00D16840" w14:paraId="3D9A36D4" w14:textId="77777777" w:rsidTr="004E1381">
        <w:trPr>
          <w:trHeight w:val="189"/>
        </w:trPr>
        <w:tc>
          <w:tcPr>
            <w:tcW w:w="3694" w:type="dxa"/>
            <w:tcBorders>
              <w:top w:val="nil"/>
              <w:left w:val="nil"/>
              <w:bottom w:val="nil"/>
              <w:right w:val="single" w:sz="8" w:space="0" w:color="auto"/>
            </w:tcBorders>
            <w:shd w:val="clear" w:color="000000" w:fill="FFFFFF"/>
            <w:noWrap/>
            <w:vAlign w:val="bottom"/>
            <w:hideMark/>
          </w:tcPr>
          <w:p w14:paraId="47FF5A8B" w14:textId="69D225E0" w:rsidR="00AF0375" w:rsidRPr="004E1381" w:rsidRDefault="00AF0375" w:rsidP="009D0470">
            <w:pPr>
              <w:rPr>
                <w:rFonts w:ascii="Calibri" w:hAnsi="Calibri"/>
                <w:color w:val="000000"/>
                <w:sz w:val="20"/>
                <w:szCs w:val="20"/>
              </w:rPr>
            </w:pPr>
            <w:r w:rsidRPr="004E1381">
              <w:rPr>
                <w:rFonts w:ascii="Calibri" w:hAnsi="Calibri"/>
                <w:color w:val="000000"/>
                <w:sz w:val="20"/>
                <w:szCs w:val="20"/>
              </w:rPr>
              <w:t>O&amp;M ($/year</w:t>
            </w:r>
            <w:r w:rsidR="00ED0099">
              <w:rPr>
                <w:rFonts w:ascii="Calibri" w:hAnsi="Calibri"/>
                <w:color w:val="000000"/>
                <w:sz w:val="20"/>
                <w:szCs w:val="20"/>
              </w:rPr>
              <w:t>)</w:t>
            </w:r>
          </w:p>
        </w:tc>
        <w:tc>
          <w:tcPr>
            <w:tcW w:w="266" w:type="dxa"/>
            <w:tcBorders>
              <w:top w:val="nil"/>
              <w:left w:val="nil"/>
              <w:bottom w:val="nil"/>
              <w:right w:val="nil"/>
            </w:tcBorders>
            <w:shd w:val="clear" w:color="000000" w:fill="FFFFFF"/>
            <w:noWrap/>
            <w:vAlign w:val="bottom"/>
            <w:hideMark/>
          </w:tcPr>
          <w:p w14:paraId="2A4174B8"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2C2771BD"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1,600 </w:t>
            </w:r>
          </w:p>
        </w:tc>
        <w:tc>
          <w:tcPr>
            <w:tcW w:w="0" w:type="auto"/>
            <w:tcBorders>
              <w:top w:val="nil"/>
              <w:left w:val="nil"/>
              <w:bottom w:val="nil"/>
              <w:right w:val="nil"/>
            </w:tcBorders>
            <w:shd w:val="clear" w:color="000000" w:fill="FFFFFF"/>
            <w:noWrap/>
            <w:vAlign w:val="bottom"/>
            <w:hideMark/>
          </w:tcPr>
          <w:p w14:paraId="004330A9"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2,400 </w:t>
            </w:r>
          </w:p>
        </w:tc>
        <w:tc>
          <w:tcPr>
            <w:tcW w:w="0" w:type="auto"/>
            <w:tcBorders>
              <w:top w:val="nil"/>
              <w:left w:val="nil"/>
              <w:bottom w:val="nil"/>
              <w:right w:val="nil"/>
            </w:tcBorders>
            <w:shd w:val="clear" w:color="000000" w:fill="FFFFFF"/>
            <w:noWrap/>
            <w:vAlign w:val="bottom"/>
            <w:hideMark/>
          </w:tcPr>
          <w:p w14:paraId="2CAE846F"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3E1B6347"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236" w:type="dxa"/>
            <w:vAlign w:val="center"/>
            <w:hideMark/>
          </w:tcPr>
          <w:p w14:paraId="3BBC718F" w14:textId="77777777" w:rsidR="00AF0375" w:rsidRPr="00D16840" w:rsidRDefault="00AF0375" w:rsidP="009D0470">
            <w:pPr>
              <w:rPr>
                <w:sz w:val="20"/>
                <w:szCs w:val="20"/>
              </w:rPr>
            </w:pPr>
          </w:p>
        </w:tc>
        <w:tc>
          <w:tcPr>
            <w:tcW w:w="0" w:type="auto"/>
            <w:vAlign w:val="center"/>
            <w:hideMark/>
          </w:tcPr>
          <w:p w14:paraId="475D61D3" w14:textId="77777777" w:rsidR="00AF0375" w:rsidRPr="00D16840" w:rsidRDefault="00AF0375" w:rsidP="009D0470">
            <w:pPr>
              <w:rPr>
                <w:sz w:val="20"/>
                <w:szCs w:val="20"/>
              </w:rPr>
            </w:pPr>
          </w:p>
        </w:tc>
        <w:tc>
          <w:tcPr>
            <w:tcW w:w="0" w:type="auto"/>
            <w:vAlign w:val="center"/>
            <w:hideMark/>
          </w:tcPr>
          <w:p w14:paraId="647EC48D" w14:textId="77777777" w:rsidR="00AF0375" w:rsidRPr="00D16840" w:rsidRDefault="00AF0375" w:rsidP="009D0470">
            <w:pPr>
              <w:rPr>
                <w:sz w:val="20"/>
                <w:szCs w:val="20"/>
              </w:rPr>
            </w:pPr>
          </w:p>
        </w:tc>
        <w:tc>
          <w:tcPr>
            <w:tcW w:w="222" w:type="dxa"/>
            <w:vAlign w:val="center"/>
            <w:hideMark/>
          </w:tcPr>
          <w:p w14:paraId="6E473A73" w14:textId="77777777" w:rsidR="00AF0375" w:rsidRPr="00D16840" w:rsidRDefault="00AF0375" w:rsidP="009D0470">
            <w:pPr>
              <w:rPr>
                <w:sz w:val="20"/>
                <w:szCs w:val="20"/>
              </w:rPr>
            </w:pPr>
          </w:p>
        </w:tc>
      </w:tr>
      <w:tr w:rsidR="00AF0375" w:rsidRPr="00D16840" w14:paraId="79D090F4" w14:textId="77777777" w:rsidTr="004E1381">
        <w:trPr>
          <w:trHeight w:val="99"/>
        </w:trPr>
        <w:tc>
          <w:tcPr>
            <w:tcW w:w="3694" w:type="dxa"/>
            <w:tcBorders>
              <w:top w:val="nil"/>
              <w:left w:val="nil"/>
              <w:bottom w:val="single" w:sz="8" w:space="0" w:color="auto"/>
              <w:right w:val="single" w:sz="8" w:space="0" w:color="auto"/>
            </w:tcBorders>
            <w:shd w:val="clear" w:color="000000" w:fill="FFFFFF"/>
            <w:noWrap/>
            <w:vAlign w:val="bottom"/>
            <w:hideMark/>
          </w:tcPr>
          <w:p w14:paraId="60362FF7"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Lifetime (years)</w:t>
            </w:r>
          </w:p>
        </w:tc>
        <w:tc>
          <w:tcPr>
            <w:tcW w:w="266" w:type="dxa"/>
            <w:tcBorders>
              <w:top w:val="nil"/>
              <w:left w:val="nil"/>
              <w:bottom w:val="single" w:sz="8" w:space="0" w:color="auto"/>
              <w:right w:val="nil"/>
            </w:tcBorders>
            <w:shd w:val="clear" w:color="000000" w:fill="FFFFFF"/>
            <w:noWrap/>
            <w:vAlign w:val="bottom"/>
            <w:hideMark/>
          </w:tcPr>
          <w:p w14:paraId="19DB057A"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single" w:sz="8" w:space="0" w:color="auto"/>
              <w:right w:val="nil"/>
            </w:tcBorders>
            <w:shd w:val="clear" w:color="000000" w:fill="FFFFFF"/>
            <w:noWrap/>
            <w:vAlign w:val="bottom"/>
            <w:hideMark/>
          </w:tcPr>
          <w:p w14:paraId="026DDEA2" w14:textId="77777777" w:rsidR="00AF0375" w:rsidRPr="004E1381" w:rsidRDefault="00AF0375" w:rsidP="009D0470">
            <w:pPr>
              <w:jc w:val="right"/>
              <w:rPr>
                <w:rFonts w:ascii="Calibri" w:hAnsi="Calibri"/>
                <w:color w:val="000000"/>
                <w:sz w:val="20"/>
                <w:szCs w:val="20"/>
              </w:rPr>
            </w:pPr>
            <w:r w:rsidRPr="004E1381">
              <w:rPr>
                <w:rFonts w:ascii="Calibri" w:hAnsi="Calibri"/>
                <w:color w:val="000000"/>
                <w:sz w:val="20"/>
                <w:szCs w:val="20"/>
              </w:rPr>
              <w:t>15</w:t>
            </w:r>
          </w:p>
        </w:tc>
        <w:tc>
          <w:tcPr>
            <w:tcW w:w="0" w:type="auto"/>
            <w:tcBorders>
              <w:top w:val="nil"/>
              <w:left w:val="nil"/>
              <w:bottom w:val="single" w:sz="8" w:space="0" w:color="auto"/>
              <w:right w:val="nil"/>
            </w:tcBorders>
            <w:shd w:val="clear" w:color="000000" w:fill="FFFFFF"/>
            <w:noWrap/>
            <w:vAlign w:val="bottom"/>
            <w:hideMark/>
          </w:tcPr>
          <w:p w14:paraId="4C02A100" w14:textId="77777777" w:rsidR="00AF0375" w:rsidRPr="004E1381" w:rsidRDefault="00AF0375" w:rsidP="009D0470">
            <w:pPr>
              <w:jc w:val="right"/>
              <w:rPr>
                <w:rFonts w:ascii="Calibri" w:hAnsi="Calibri"/>
                <w:color w:val="000000"/>
                <w:sz w:val="20"/>
                <w:szCs w:val="20"/>
              </w:rPr>
            </w:pPr>
            <w:r w:rsidRPr="004E1381">
              <w:rPr>
                <w:rFonts w:ascii="Calibri" w:hAnsi="Calibri"/>
                <w:color w:val="000000"/>
                <w:sz w:val="20"/>
                <w:szCs w:val="20"/>
              </w:rPr>
              <w:t>15</w:t>
            </w:r>
          </w:p>
        </w:tc>
        <w:tc>
          <w:tcPr>
            <w:tcW w:w="0" w:type="auto"/>
            <w:tcBorders>
              <w:top w:val="nil"/>
              <w:left w:val="nil"/>
              <w:bottom w:val="single" w:sz="8" w:space="0" w:color="auto"/>
              <w:right w:val="nil"/>
            </w:tcBorders>
            <w:shd w:val="clear" w:color="000000" w:fill="FFFFFF"/>
            <w:noWrap/>
            <w:vAlign w:val="bottom"/>
            <w:hideMark/>
          </w:tcPr>
          <w:p w14:paraId="1BE76707"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single" w:sz="8" w:space="0" w:color="auto"/>
              <w:right w:val="nil"/>
            </w:tcBorders>
            <w:shd w:val="clear" w:color="000000" w:fill="FFFFFF"/>
            <w:noWrap/>
            <w:vAlign w:val="bottom"/>
            <w:hideMark/>
          </w:tcPr>
          <w:p w14:paraId="176842D9"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236" w:type="dxa"/>
            <w:vAlign w:val="center"/>
            <w:hideMark/>
          </w:tcPr>
          <w:p w14:paraId="15D9475E" w14:textId="77777777" w:rsidR="00AF0375" w:rsidRPr="00D16840" w:rsidRDefault="00AF0375" w:rsidP="009D0470">
            <w:pPr>
              <w:rPr>
                <w:sz w:val="20"/>
                <w:szCs w:val="20"/>
              </w:rPr>
            </w:pPr>
          </w:p>
        </w:tc>
        <w:tc>
          <w:tcPr>
            <w:tcW w:w="0" w:type="auto"/>
            <w:vAlign w:val="center"/>
            <w:hideMark/>
          </w:tcPr>
          <w:p w14:paraId="4B938E08" w14:textId="77777777" w:rsidR="00AF0375" w:rsidRPr="00D16840" w:rsidRDefault="00AF0375" w:rsidP="009D0470">
            <w:pPr>
              <w:rPr>
                <w:sz w:val="20"/>
                <w:szCs w:val="20"/>
              </w:rPr>
            </w:pPr>
          </w:p>
        </w:tc>
        <w:tc>
          <w:tcPr>
            <w:tcW w:w="0" w:type="auto"/>
            <w:vAlign w:val="center"/>
            <w:hideMark/>
          </w:tcPr>
          <w:p w14:paraId="76BC9B2D" w14:textId="77777777" w:rsidR="00AF0375" w:rsidRPr="00D16840" w:rsidRDefault="00AF0375" w:rsidP="009D0470">
            <w:pPr>
              <w:rPr>
                <w:sz w:val="20"/>
                <w:szCs w:val="20"/>
              </w:rPr>
            </w:pPr>
          </w:p>
        </w:tc>
        <w:tc>
          <w:tcPr>
            <w:tcW w:w="222" w:type="dxa"/>
            <w:vAlign w:val="center"/>
            <w:hideMark/>
          </w:tcPr>
          <w:p w14:paraId="3C99F81F" w14:textId="77777777" w:rsidR="00AF0375" w:rsidRPr="00D16840" w:rsidRDefault="00AF0375" w:rsidP="009D0470">
            <w:pPr>
              <w:rPr>
                <w:sz w:val="20"/>
                <w:szCs w:val="20"/>
              </w:rPr>
            </w:pPr>
          </w:p>
        </w:tc>
      </w:tr>
      <w:tr w:rsidR="00AF0375" w:rsidRPr="00D16840" w14:paraId="40224376" w14:textId="77777777" w:rsidTr="004E1381">
        <w:trPr>
          <w:trHeight w:val="169"/>
        </w:trPr>
        <w:tc>
          <w:tcPr>
            <w:tcW w:w="3694" w:type="dxa"/>
            <w:tcBorders>
              <w:top w:val="nil"/>
              <w:left w:val="nil"/>
              <w:bottom w:val="nil"/>
              <w:right w:val="single" w:sz="8" w:space="0" w:color="auto"/>
            </w:tcBorders>
            <w:shd w:val="clear" w:color="000000" w:fill="FFFFFF"/>
            <w:noWrap/>
            <w:vAlign w:val="bottom"/>
            <w:hideMark/>
          </w:tcPr>
          <w:p w14:paraId="5155DCB9"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Electric Thermal Stove Capacity (kW)</w:t>
            </w:r>
          </w:p>
        </w:tc>
        <w:tc>
          <w:tcPr>
            <w:tcW w:w="266" w:type="dxa"/>
            <w:tcBorders>
              <w:top w:val="nil"/>
              <w:left w:val="nil"/>
              <w:bottom w:val="nil"/>
              <w:right w:val="nil"/>
            </w:tcBorders>
            <w:shd w:val="clear" w:color="000000" w:fill="FFFFFF"/>
            <w:noWrap/>
            <w:vAlign w:val="bottom"/>
            <w:hideMark/>
          </w:tcPr>
          <w:p w14:paraId="66017740"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6148CE7B"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100 </w:t>
            </w:r>
          </w:p>
        </w:tc>
        <w:tc>
          <w:tcPr>
            <w:tcW w:w="0" w:type="auto"/>
            <w:tcBorders>
              <w:top w:val="nil"/>
              <w:left w:val="nil"/>
              <w:bottom w:val="nil"/>
              <w:right w:val="nil"/>
            </w:tcBorders>
            <w:shd w:val="clear" w:color="000000" w:fill="FFFFFF"/>
            <w:noWrap/>
            <w:vAlign w:val="bottom"/>
            <w:hideMark/>
          </w:tcPr>
          <w:p w14:paraId="412624AB"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300 </w:t>
            </w:r>
          </w:p>
        </w:tc>
        <w:tc>
          <w:tcPr>
            <w:tcW w:w="0" w:type="auto"/>
            <w:tcBorders>
              <w:top w:val="nil"/>
              <w:left w:val="nil"/>
              <w:bottom w:val="nil"/>
              <w:right w:val="nil"/>
            </w:tcBorders>
            <w:shd w:val="clear" w:color="000000" w:fill="FFFFFF"/>
            <w:noWrap/>
            <w:vAlign w:val="bottom"/>
            <w:hideMark/>
          </w:tcPr>
          <w:p w14:paraId="6F5981BF"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600 </w:t>
            </w:r>
          </w:p>
        </w:tc>
        <w:tc>
          <w:tcPr>
            <w:tcW w:w="0" w:type="auto"/>
            <w:tcBorders>
              <w:top w:val="nil"/>
              <w:left w:val="nil"/>
              <w:bottom w:val="nil"/>
              <w:right w:val="nil"/>
            </w:tcBorders>
            <w:shd w:val="clear" w:color="000000" w:fill="FFFFFF"/>
            <w:noWrap/>
            <w:vAlign w:val="bottom"/>
            <w:hideMark/>
          </w:tcPr>
          <w:p w14:paraId="57D35D1E"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900 </w:t>
            </w:r>
          </w:p>
        </w:tc>
        <w:tc>
          <w:tcPr>
            <w:tcW w:w="236" w:type="dxa"/>
            <w:vAlign w:val="center"/>
            <w:hideMark/>
          </w:tcPr>
          <w:p w14:paraId="62A834EB" w14:textId="77777777" w:rsidR="00AF0375" w:rsidRPr="00D16840" w:rsidRDefault="00AF0375" w:rsidP="009D0470">
            <w:pPr>
              <w:rPr>
                <w:sz w:val="20"/>
                <w:szCs w:val="20"/>
              </w:rPr>
            </w:pPr>
          </w:p>
        </w:tc>
        <w:tc>
          <w:tcPr>
            <w:tcW w:w="0" w:type="auto"/>
            <w:vAlign w:val="center"/>
            <w:hideMark/>
          </w:tcPr>
          <w:p w14:paraId="6A030039" w14:textId="77777777" w:rsidR="00AF0375" w:rsidRPr="00D16840" w:rsidRDefault="00AF0375" w:rsidP="009D0470">
            <w:pPr>
              <w:rPr>
                <w:sz w:val="20"/>
                <w:szCs w:val="20"/>
              </w:rPr>
            </w:pPr>
          </w:p>
        </w:tc>
        <w:tc>
          <w:tcPr>
            <w:tcW w:w="0" w:type="auto"/>
            <w:vAlign w:val="center"/>
            <w:hideMark/>
          </w:tcPr>
          <w:p w14:paraId="102C7748" w14:textId="77777777" w:rsidR="00AF0375" w:rsidRPr="00D16840" w:rsidRDefault="00AF0375" w:rsidP="009D0470">
            <w:pPr>
              <w:rPr>
                <w:sz w:val="20"/>
                <w:szCs w:val="20"/>
              </w:rPr>
            </w:pPr>
          </w:p>
        </w:tc>
        <w:tc>
          <w:tcPr>
            <w:tcW w:w="222" w:type="dxa"/>
            <w:vAlign w:val="center"/>
            <w:hideMark/>
          </w:tcPr>
          <w:p w14:paraId="14E8C034" w14:textId="77777777" w:rsidR="00AF0375" w:rsidRPr="00D16840" w:rsidRDefault="00AF0375" w:rsidP="009D0470">
            <w:pPr>
              <w:rPr>
                <w:sz w:val="20"/>
                <w:szCs w:val="20"/>
              </w:rPr>
            </w:pPr>
          </w:p>
        </w:tc>
      </w:tr>
      <w:tr w:rsidR="00AF0375" w:rsidRPr="00D16840" w14:paraId="3FBF502E" w14:textId="77777777" w:rsidTr="004E1381">
        <w:trPr>
          <w:trHeight w:val="180"/>
        </w:trPr>
        <w:tc>
          <w:tcPr>
            <w:tcW w:w="3694" w:type="dxa"/>
            <w:tcBorders>
              <w:top w:val="nil"/>
              <w:left w:val="nil"/>
              <w:bottom w:val="single" w:sz="8" w:space="0" w:color="auto"/>
              <w:right w:val="single" w:sz="8" w:space="0" w:color="auto"/>
            </w:tcBorders>
            <w:shd w:val="clear" w:color="000000" w:fill="FFFFFF"/>
            <w:noWrap/>
            <w:vAlign w:val="bottom"/>
            <w:hideMark/>
          </w:tcPr>
          <w:p w14:paraId="7D82E506"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Installed Cost ($)</w:t>
            </w:r>
          </w:p>
        </w:tc>
        <w:tc>
          <w:tcPr>
            <w:tcW w:w="266" w:type="dxa"/>
            <w:tcBorders>
              <w:top w:val="nil"/>
              <w:left w:val="nil"/>
              <w:bottom w:val="single" w:sz="8" w:space="0" w:color="auto"/>
              <w:right w:val="nil"/>
            </w:tcBorders>
            <w:shd w:val="clear" w:color="000000" w:fill="FFFFFF"/>
            <w:noWrap/>
            <w:vAlign w:val="bottom"/>
            <w:hideMark/>
          </w:tcPr>
          <w:p w14:paraId="21990B3F"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single" w:sz="8" w:space="0" w:color="auto"/>
              <w:right w:val="nil"/>
            </w:tcBorders>
            <w:shd w:val="clear" w:color="000000" w:fill="FFFFFF"/>
            <w:noWrap/>
            <w:vAlign w:val="bottom"/>
            <w:hideMark/>
          </w:tcPr>
          <w:p w14:paraId="0751314E"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60,000 </w:t>
            </w:r>
          </w:p>
        </w:tc>
        <w:tc>
          <w:tcPr>
            <w:tcW w:w="0" w:type="auto"/>
            <w:tcBorders>
              <w:top w:val="nil"/>
              <w:left w:val="nil"/>
              <w:bottom w:val="single" w:sz="8" w:space="0" w:color="auto"/>
              <w:right w:val="nil"/>
            </w:tcBorders>
            <w:shd w:val="clear" w:color="000000" w:fill="FFFFFF"/>
            <w:noWrap/>
            <w:vAlign w:val="bottom"/>
            <w:hideMark/>
          </w:tcPr>
          <w:p w14:paraId="50DD2067"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160,000 </w:t>
            </w:r>
          </w:p>
        </w:tc>
        <w:tc>
          <w:tcPr>
            <w:tcW w:w="0" w:type="auto"/>
            <w:tcBorders>
              <w:top w:val="nil"/>
              <w:left w:val="nil"/>
              <w:bottom w:val="single" w:sz="8" w:space="0" w:color="auto"/>
              <w:right w:val="nil"/>
            </w:tcBorders>
            <w:shd w:val="clear" w:color="000000" w:fill="FFFFFF"/>
            <w:noWrap/>
            <w:vAlign w:val="bottom"/>
            <w:hideMark/>
          </w:tcPr>
          <w:p w14:paraId="4E30E98E"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310,000 </w:t>
            </w:r>
          </w:p>
        </w:tc>
        <w:tc>
          <w:tcPr>
            <w:tcW w:w="0" w:type="auto"/>
            <w:tcBorders>
              <w:top w:val="nil"/>
              <w:left w:val="nil"/>
              <w:bottom w:val="single" w:sz="8" w:space="0" w:color="auto"/>
              <w:right w:val="nil"/>
            </w:tcBorders>
            <w:shd w:val="clear" w:color="000000" w:fill="FFFFFF"/>
            <w:noWrap/>
            <w:vAlign w:val="bottom"/>
            <w:hideMark/>
          </w:tcPr>
          <w:p w14:paraId="457CDA22"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460,000 </w:t>
            </w:r>
          </w:p>
        </w:tc>
        <w:tc>
          <w:tcPr>
            <w:tcW w:w="236" w:type="dxa"/>
            <w:vAlign w:val="center"/>
            <w:hideMark/>
          </w:tcPr>
          <w:p w14:paraId="61C91341" w14:textId="77777777" w:rsidR="00AF0375" w:rsidRPr="00D16840" w:rsidRDefault="00AF0375" w:rsidP="009D0470">
            <w:pPr>
              <w:rPr>
                <w:sz w:val="20"/>
                <w:szCs w:val="20"/>
              </w:rPr>
            </w:pPr>
          </w:p>
        </w:tc>
        <w:tc>
          <w:tcPr>
            <w:tcW w:w="0" w:type="auto"/>
            <w:vAlign w:val="center"/>
            <w:hideMark/>
          </w:tcPr>
          <w:p w14:paraId="79F49AB2" w14:textId="77777777" w:rsidR="00AF0375" w:rsidRPr="00D16840" w:rsidRDefault="00AF0375" w:rsidP="009D0470">
            <w:pPr>
              <w:rPr>
                <w:sz w:val="20"/>
                <w:szCs w:val="20"/>
              </w:rPr>
            </w:pPr>
          </w:p>
        </w:tc>
        <w:tc>
          <w:tcPr>
            <w:tcW w:w="0" w:type="auto"/>
            <w:vAlign w:val="center"/>
            <w:hideMark/>
          </w:tcPr>
          <w:p w14:paraId="37DFA90F" w14:textId="77777777" w:rsidR="00AF0375" w:rsidRPr="00D16840" w:rsidRDefault="00AF0375" w:rsidP="009D0470">
            <w:pPr>
              <w:rPr>
                <w:sz w:val="20"/>
                <w:szCs w:val="20"/>
              </w:rPr>
            </w:pPr>
          </w:p>
        </w:tc>
        <w:tc>
          <w:tcPr>
            <w:tcW w:w="222" w:type="dxa"/>
            <w:vAlign w:val="center"/>
            <w:hideMark/>
          </w:tcPr>
          <w:p w14:paraId="1A656ACF" w14:textId="77777777" w:rsidR="00AF0375" w:rsidRPr="00D16840" w:rsidRDefault="00AF0375" w:rsidP="009D0470">
            <w:pPr>
              <w:rPr>
                <w:sz w:val="20"/>
                <w:szCs w:val="20"/>
              </w:rPr>
            </w:pPr>
          </w:p>
        </w:tc>
      </w:tr>
      <w:tr w:rsidR="00AF0375" w:rsidRPr="00D16840" w14:paraId="12EA4210" w14:textId="77777777" w:rsidTr="004E1381">
        <w:trPr>
          <w:trHeight w:val="250"/>
        </w:trPr>
        <w:tc>
          <w:tcPr>
            <w:tcW w:w="3694" w:type="dxa"/>
            <w:tcBorders>
              <w:top w:val="nil"/>
              <w:left w:val="nil"/>
              <w:bottom w:val="nil"/>
              <w:right w:val="single" w:sz="8" w:space="0" w:color="auto"/>
            </w:tcBorders>
            <w:shd w:val="clear" w:color="000000" w:fill="FFFFFF"/>
            <w:noWrap/>
            <w:vAlign w:val="bottom"/>
            <w:hideMark/>
          </w:tcPr>
          <w:p w14:paraId="2973CB68"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Hydroelectricity Plant Capacity (kW)</w:t>
            </w:r>
          </w:p>
        </w:tc>
        <w:tc>
          <w:tcPr>
            <w:tcW w:w="266" w:type="dxa"/>
            <w:tcBorders>
              <w:top w:val="nil"/>
              <w:left w:val="nil"/>
              <w:bottom w:val="nil"/>
              <w:right w:val="nil"/>
            </w:tcBorders>
            <w:shd w:val="clear" w:color="000000" w:fill="FFFFFF"/>
            <w:noWrap/>
            <w:vAlign w:val="bottom"/>
            <w:hideMark/>
          </w:tcPr>
          <w:p w14:paraId="5A4F0E53"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25E5732D"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235 </w:t>
            </w:r>
          </w:p>
        </w:tc>
        <w:tc>
          <w:tcPr>
            <w:tcW w:w="0" w:type="auto"/>
            <w:tcBorders>
              <w:top w:val="nil"/>
              <w:left w:val="nil"/>
              <w:bottom w:val="nil"/>
              <w:right w:val="nil"/>
            </w:tcBorders>
            <w:shd w:val="clear" w:color="000000" w:fill="FFFFFF"/>
            <w:noWrap/>
            <w:vAlign w:val="bottom"/>
            <w:hideMark/>
          </w:tcPr>
          <w:p w14:paraId="6E8043D6"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49B75550"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1950BF8C"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236" w:type="dxa"/>
            <w:vAlign w:val="center"/>
            <w:hideMark/>
          </w:tcPr>
          <w:p w14:paraId="49D11D66" w14:textId="77777777" w:rsidR="00AF0375" w:rsidRPr="00D16840" w:rsidRDefault="00AF0375" w:rsidP="009D0470">
            <w:pPr>
              <w:rPr>
                <w:sz w:val="20"/>
                <w:szCs w:val="20"/>
              </w:rPr>
            </w:pPr>
          </w:p>
        </w:tc>
        <w:tc>
          <w:tcPr>
            <w:tcW w:w="0" w:type="auto"/>
            <w:vAlign w:val="center"/>
            <w:hideMark/>
          </w:tcPr>
          <w:p w14:paraId="7661AD17" w14:textId="77777777" w:rsidR="00AF0375" w:rsidRPr="00D16840" w:rsidRDefault="00AF0375" w:rsidP="009D0470">
            <w:pPr>
              <w:rPr>
                <w:sz w:val="20"/>
                <w:szCs w:val="20"/>
              </w:rPr>
            </w:pPr>
          </w:p>
        </w:tc>
        <w:tc>
          <w:tcPr>
            <w:tcW w:w="0" w:type="auto"/>
            <w:vAlign w:val="center"/>
            <w:hideMark/>
          </w:tcPr>
          <w:p w14:paraId="1C3A3FCC" w14:textId="77777777" w:rsidR="00AF0375" w:rsidRPr="00D16840" w:rsidRDefault="00AF0375" w:rsidP="009D0470">
            <w:pPr>
              <w:rPr>
                <w:sz w:val="20"/>
                <w:szCs w:val="20"/>
              </w:rPr>
            </w:pPr>
          </w:p>
        </w:tc>
        <w:tc>
          <w:tcPr>
            <w:tcW w:w="222" w:type="dxa"/>
            <w:vAlign w:val="center"/>
            <w:hideMark/>
          </w:tcPr>
          <w:p w14:paraId="01AE3314" w14:textId="77777777" w:rsidR="00AF0375" w:rsidRPr="00D16840" w:rsidRDefault="00AF0375" w:rsidP="009D0470">
            <w:pPr>
              <w:rPr>
                <w:sz w:val="20"/>
                <w:szCs w:val="20"/>
              </w:rPr>
            </w:pPr>
          </w:p>
        </w:tc>
      </w:tr>
      <w:tr w:rsidR="00AF0375" w:rsidRPr="00D16840" w14:paraId="18C69DFB" w14:textId="77777777" w:rsidTr="004E1381">
        <w:trPr>
          <w:trHeight w:val="171"/>
        </w:trPr>
        <w:tc>
          <w:tcPr>
            <w:tcW w:w="3694" w:type="dxa"/>
            <w:tcBorders>
              <w:top w:val="nil"/>
              <w:left w:val="nil"/>
              <w:bottom w:val="nil"/>
              <w:right w:val="single" w:sz="8" w:space="0" w:color="auto"/>
            </w:tcBorders>
            <w:shd w:val="clear" w:color="000000" w:fill="FFFFFF"/>
            <w:noWrap/>
            <w:vAlign w:val="bottom"/>
            <w:hideMark/>
          </w:tcPr>
          <w:p w14:paraId="3FF51158"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Hydro Installed Capital ($/kW)</w:t>
            </w:r>
          </w:p>
        </w:tc>
        <w:tc>
          <w:tcPr>
            <w:tcW w:w="266" w:type="dxa"/>
            <w:tcBorders>
              <w:top w:val="nil"/>
              <w:left w:val="nil"/>
              <w:bottom w:val="nil"/>
              <w:right w:val="nil"/>
            </w:tcBorders>
            <w:shd w:val="clear" w:color="000000" w:fill="FFFFFF"/>
            <w:noWrap/>
            <w:vAlign w:val="bottom"/>
            <w:hideMark/>
          </w:tcPr>
          <w:p w14:paraId="37A729EC"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23000B1E"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43,909 </w:t>
            </w:r>
          </w:p>
        </w:tc>
        <w:tc>
          <w:tcPr>
            <w:tcW w:w="0" w:type="auto"/>
            <w:tcBorders>
              <w:top w:val="nil"/>
              <w:left w:val="nil"/>
              <w:bottom w:val="nil"/>
              <w:right w:val="nil"/>
            </w:tcBorders>
            <w:shd w:val="clear" w:color="000000" w:fill="FFFFFF"/>
            <w:noWrap/>
            <w:vAlign w:val="bottom"/>
            <w:hideMark/>
          </w:tcPr>
          <w:p w14:paraId="53B74335"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389A22C5"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0C34A33B"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236" w:type="dxa"/>
            <w:vAlign w:val="center"/>
            <w:hideMark/>
          </w:tcPr>
          <w:p w14:paraId="5A66C2BB" w14:textId="77777777" w:rsidR="00AF0375" w:rsidRPr="00D16840" w:rsidRDefault="00AF0375" w:rsidP="009D0470">
            <w:pPr>
              <w:rPr>
                <w:sz w:val="20"/>
                <w:szCs w:val="20"/>
              </w:rPr>
            </w:pPr>
          </w:p>
        </w:tc>
        <w:tc>
          <w:tcPr>
            <w:tcW w:w="0" w:type="auto"/>
            <w:vAlign w:val="center"/>
            <w:hideMark/>
          </w:tcPr>
          <w:p w14:paraId="334977E5" w14:textId="77777777" w:rsidR="00AF0375" w:rsidRPr="00D16840" w:rsidRDefault="00AF0375" w:rsidP="009D0470">
            <w:pPr>
              <w:rPr>
                <w:sz w:val="20"/>
                <w:szCs w:val="20"/>
              </w:rPr>
            </w:pPr>
          </w:p>
        </w:tc>
        <w:tc>
          <w:tcPr>
            <w:tcW w:w="0" w:type="auto"/>
            <w:vAlign w:val="center"/>
            <w:hideMark/>
          </w:tcPr>
          <w:p w14:paraId="24895E9D" w14:textId="77777777" w:rsidR="00AF0375" w:rsidRPr="00D16840" w:rsidRDefault="00AF0375" w:rsidP="009D0470">
            <w:pPr>
              <w:rPr>
                <w:sz w:val="20"/>
                <w:szCs w:val="20"/>
              </w:rPr>
            </w:pPr>
          </w:p>
        </w:tc>
        <w:tc>
          <w:tcPr>
            <w:tcW w:w="222" w:type="dxa"/>
            <w:vAlign w:val="center"/>
            <w:hideMark/>
          </w:tcPr>
          <w:p w14:paraId="44FF7F62" w14:textId="77777777" w:rsidR="00AF0375" w:rsidRPr="00D16840" w:rsidRDefault="00AF0375" w:rsidP="009D0470">
            <w:pPr>
              <w:rPr>
                <w:sz w:val="20"/>
                <w:szCs w:val="20"/>
              </w:rPr>
            </w:pPr>
          </w:p>
        </w:tc>
      </w:tr>
      <w:tr w:rsidR="00AF0375" w:rsidRPr="00D16840" w14:paraId="47EAE4A1" w14:textId="77777777" w:rsidTr="004E1381">
        <w:trPr>
          <w:trHeight w:val="261"/>
        </w:trPr>
        <w:tc>
          <w:tcPr>
            <w:tcW w:w="3694" w:type="dxa"/>
            <w:tcBorders>
              <w:top w:val="nil"/>
              <w:left w:val="nil"/>
              <w:bottom w:val="nil"/>
              <w:right w:val="single" w:sz="8" w:space="0" w:color="auto"/>
            </w:tcBorders>
            <w:shd w:val="clear" w:color="000000" w:fill="FFFFFF"/>
            <w:noWrap/>
            <w:vAlign w:val="bottom"/>
            <w:hideMark/>
          </w:tcPr>
          <w:p w14:paraId="16A775AF"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Hydro O&amp;M ($/kW)</w:t>
            </w:r>
          </w:p>
        </w:tc>
        <w:tc>
          <w:tcPr>
            <w:tcW w:w="266" w:type="dxa"/>
            <w:tcBorders>
              <w:top w:val="nil"/>
              <w:left w:val="nil"/>
              <w:bottom w:val="nil"/>
              <w:right w:val="nil"/>
            </w:tcBorders>
            <w:shd w:val="clear" w:color="000000" w:fill="FFFFFF"/>
            <w:noWrap/>
            <w:vAlign w:val="bottom"/>
            <w:hideMark/>
          </w:tcPr>
          <w:p w14:paraId="315A89B3"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79616AAC"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88 </w:t>
            </w:r>
          </w:p>
        </w:tc>
        <w:tc>
          <w:tcPr>
            <w:tcW w:w="0" w:type="auto"/>
            <w:tcBorders>
              <w:top w:val="nil"/>
              <w:left w:val="nil"/>
              <w:bottom w:val="nil"/>
              <w:right w:val="nil"/>
            </w:tcBorders>
            <w:shd w:val="clear" w:color="000000" w:fill="FFFFFF"/>
            <w:noWrap/>
            <w:vAlign w:val="bottom"/>
            <w:hideMark/>
          </w:tcPr>
          <w:p w14:paraId="29462FBD"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04A224D4"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5B6B9136"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236" w:type="dxa"/>
            <w:vAlign w:val="center"/>
            <w:hideMark/>
          </w:tcPr>
          <w:p w14:paraId="48AEA74C" w14:textId="77777777" w:rsidR="00AF0375" w:rsidRPr="00D16840" w:rsidRDefault="00AF0375" w:rsidP="009D0470">
            <w:pPr>
              <w:rPr>
                <w:sz w:val="20"/>
                <w:szCs w:val="20"/>
              </w:rPr>
            </w:pPr>
          </w:p>
        </w:tc>
        <w:tc>
          <w:tcPr>
            <w:tcW w:w="0" w:type="auto"/>
            <w:vAlign w:val="center"/>
            <w:hideMark/>
          </w:tcPr>
          <w:p w14:paraId="6F54F0EA" w14:textId="77777777" w:rsidR="00AF0375" w:rsidRPr="00D16840" w:rsidRDefault="00AF0375" w:rsidP="009D0470">
            <w:pPr>
              <w:rPr>
                <w:sz w:val="20"/>
                <w:szCs w:val="20"/>
              </w:rPr>
            </w:pPr>
          </w:p>
        </w:tc>
        <w:tc>
          <w:tcPr>
            <w:tcW w:w="0" w:type="auto"/>
            <w:vAlign w:val="center"/>
            <w:hideMark/>
          </w:tcPr>
          <w:p w14:paraId="28AB26D6" w14:textId="77777777" w:rsidR="00AF0375" w:rsidRPr="00D16840" w:rsidRDefault="00AF0375" w:rsidP="009D0470">
            <w:pPr>
              <w:rPr>
                <w:sz w:val="20"/>
                <w:szCs w:val="20"/>
              </w:rPr>
            </w:pPr>
          </w:p>
        </w:tc>
        <w:tc>
          <w:tcPr>
            <w:tcW w:w="222" w:type="dxa"/>
            <w:vAlign w:val="center"/>
            <w:hideMark/>
          </w:tcPr>
          <w:p w14:paraId="48FDB3E3" w14:textId="77777777" w:rsidR="00AF0375" w:rsidRPr="00D16840" w:rsidRDefault="00AF0375" w:rsidP="009D0470">
            <w:pPr>
              <w:rPr>
                <w:sz w:val="20"/>
                <w:szCs w:val="20"/>
              </w:rPr>
            </w:pPr>
          </w:p>
        </w:tc>
      </w:tr>
      <w:tr w:rsidR="00AF0375" w:rsidRPr="00D16840" w14:paraId="309F72C5" w14:textId="77777777" w:rsidTr="004E1381">
        <w:trPr>
          <w:trHeight w:val="171"/>
        </w:trPr>
        <w:tc>
          <w:tcPr>
            <w:tcW w:w="3694" w:type="dxa"/>
            <w:tcBorders>
              <w:top w:val="nil"/>
              <w:left w:val="nil"/>
              <w:bottom w:val="nil"/>
              <w:right w:val="single" w:sz="8" w:space="0" w:color="auto"/>
            </w:tcBorders>
            <w:shd w:val="clear" w:color="000000" w:fill="FFFFFF"/>
            <w:noWrap/>
            <w:vAlign w:val="bottom"/>
            <w:hideMark/>
          </w:tcPr>
          <w:p w14:paraId="1951D42D"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Lifetime (years)</w:t>
            </w:r>
          </w:p>
        </w:tc>
        <w:tc>
          <w:tcPr>
            <w:tcW w:w="266" w:type="dxa"/>
            <w:tcBorders>
              <w:top w:val="nil"/>
              <w:left w:val="nil"/>
              <w:bottom w:val="nil"/>
              <w:right w:val="nil"/>
            </w:tcBorders>
            <w:shd w:val="clear" w:color="000000" w:fill="FFFFFF"/>
            <w:noWrap/>
            <w:vAlign w:val="bottom"/>
            <w:hideMark/>
          </w:tcPr>
          <w:p w14:paraId="73457419"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4A83D44C"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xml:space="preserve">           30 </w:t>
            </w:r>
          </w:p>
        </w:tc>
        <w:tc>
          <w:tcPr>
            <w:tcW w:w="0" w:type="auto"/>
            <w:tcBorders>
              <w:top w:val="nil"/>
              <w:left w:val="nil"/>
              <w:bottom w:val="nil"/>
              <w:right w:val="nil"/>
            </w:tcBorders>
            <w:shd w:val="clear" w:color="000000" w:fill="FFFFFF"/>
            <w:noWrap/>
            <w:vAlign w:val="bottom"/>
            <w:hideMark/>
          </w:tcPr>
          <w:p w14:paraId="3E745322"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0FA60BEE"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7024755C"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236" w:type="dxa"/>
            <w:vAlign w:val="center"/>
            <w:hideMark/>
          </w:tcPr>
          <w:p w14:paraId="41B74AB3" w14:textId="77777777" w:rsidR="00AF0375" w:rsidRPr="00D16840" w:rsidRDefault="00AF0375" w:rsidP="009D0470">
            <w:pPr>
              <w:rPr>
                <w:sz w:val="20"/>
                <w:szCs w:val="20"/>
              </w:rPr>
            </w:pPr>
          </w:p>
        </w:tc>
        <w:tc>
          <w:tcPr>
            <w:tcW w:w="0" w:type="auto"/>
            <w:vAlign w:val="center"/>
            <w:hideMark/>
          </w:tcPr>
          <w:p w14:paraId="2FB98DAB" w14:textId="77777777" w:rsidR="00AF0375" w:rsidRPr="00D16840" w:rsidRDefault="00AF0375" w:rsidP="009D0470">
            <w:pPr>
              <w:rPr>
                <w:sz w:val="20"/>
                <w:szCs w:val="20"/>
              </w:rPr>
            </w:pPr>
          </w:p>
        </w:tc>
        <w:tc>
          <w:tcPr>
            <w:tcW w:w="0" w:type="auto"/>
            <w:vAlign w:val="center"/>
            <w:hideMark/>
          </w:tcPr>
          <w:p w14:paraId="7C7CAE63" w14:textId="77777777" w:rsidR="00AF0375" w:rsidRPr="00D16840" w:rsidRDefault="00AF0375" w:rsidP="009D0470">
            <w:pPr>
              <w:rPr>
                <w:sz w:val="20"/>
                <w:szCs w:val="20"/>
              </w:rPr>
            </w:pPr>
          </w:p>
        </w:tc>
        <w:tc>
          <w:tcPr>
            <w:tcW w:w="222" w:type="dxa"/>
            <w:vAlign w:val="center"/>
            <w:hideMark/>
          </w:tcPr>
          <w:p w14:paraId="563B00ED" w14:textId="77777777" w:rsidR="00AF0375" w:rsidRPr="00D16840" w:rsidRDefault="00AF0375" w:rsidP="009D0470">
            <w:pPr>
              <w:rPr>
                <w:sz w:val="20"/>
                <w:szCs w:val="20"/>
              </w:rPr>
            </w:pPr>
          </w:p>
        </w:tc>
      </w:tr>
      <w:tr w:rsidR="00AF0375" w:rsidRPr="00D16840" w14:paraId="23059EB1" w14:textId="77777777" w:rsidTr="004E1381">
        <w:trPr>
          <w:trHeight w:val="331"/>
        </w:trPr>
        <w:tc>
          <w:tcPr>
            <w:tcW w:w="3694" w:type="dxa"/>
            <w:tcBorders>
              <w:top w:val="single" w:sz="8" w:space="0" w:color="auto"/>
              <w:left w:val="nil"/>
              <w:bottom w:val="nil"/>
              <w:right w:val="single" w:sz="8" w:space="0" w:color="auto"/>
            </w:tcBorders>
            <w:shd w:val="clear" w:color="000000" w:fill="FFFFFF"/>
            <w:noWrap/>
            <w:vAlign w:val="bottom"/>
            <w:hideMark/>
          </w:tcPr>
          <w:p w14:paraId="7002ADE7" w14:textId="6946C58A" w:rsidR="00AF0375" w:rsidRPr="004E1381" w:rsidRDefault="00AF0375" w:rsidP="002C66F0">
            <w:pPr>
              <w:rPr>
                <w:rFonts w:ascii="Calibri" w:hAnsi="Calibri"/>
                <w:color w:val="000000"/>
                <w:sz w:val="20"/>
                <w:szCs w:val="20"/>
              </w:rPr>
            </w:pPr>
            <w:r w:rsidRPr="004E1381">
              <w:rPr>
                <w:rFonts w:ascii="Calibri" w:hAnsi="Calibri"/>
                <w:color w:val="000000"/>
                <w:sz w:val="20"/>
                <w:szCs w:val="20"/>
              </w:rPr>
              <w:t xml:space="preserve">Diesel </w:t>
            </w:r>
            <w:r w:rsidR="002C66F0">
              <w:rPr>
                <w:rFonts w:ascii="Calibri" w:hAnsi="Calibri"/>
                <w:color w:val="000000"/>
                <w:sz w:val="20"/>
                <w:szCs w:val="20"/>
              </w:rPr>
              <w:t>202</w:t>
            </w:r>
            <w:r w:rsidRPr="004E1381">
              <w:rPr>
                <w:rFonts w:ascii="Calibri" w:hAnsi="Calibri"/>
                <w:color w:val="000000"/>
                <w:sz w:val="20"/>
                <w:szCs w:val="20"/>
              </w:rPr>
              <w:t xml:space="preserve"> kW O&amp;M ($/hr)</w:t>
            </w:r>
          </w:p>
        </w:tc>
        <w:tc>
          <w:tcPr>
            <w:tcW w:w="266" w:type="dxa"/>
            <w:tcBorders>
              <w:top w:val="single" w:sz="8" w:space="0" w:color="auto"/>
              <w:left w:val="nil"/>
              <w:bottom w:val="nil"/>
              <w:right w:val="nil"/>
            </w:tcBorders>
            <w:shd w:val="clear" w:color="000000" w:fill="FFFFFF"/>
            <w:noWrap/>
            <w:vAlign w:val="bottom"/>
            <w:hideMark/>
          </w:tcPr>
          <w:p w14:paraId="31D67BEB"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single" w:sz="8" w:space="0" w:color="auto"/>
              <w:left w:val="nil"/>
              <w:bottom w:val="nil"/>
              <w:right w:val="nil"/>
            </w:tcBorders>
            <w:shd w:val="clear" w:color="000000" w:fill="FFFFFF"/>
            <w:noWrap/>
            <w:vAlign w:val="bottom"/>
            <w:hideMark/>
          </w:tcPr>
          <w:p w14:paraId="0C5CA9BC" w14:textId="7D99B214" w:rsidR="00AF0375" w:rsidRPr="004E1381" w:rsidRDefault="00AF0375" w:rsidP="002C66F0">
            <w:pPr>
              <w:rPr>
                <w:rFonts w:ascii="Calibri" w:hAnsi="Calibri"/>
                <w:color w:val="000000"/>
                <w:sz w:val="20"/>
                <w:szCs w:val="20"/>
              </w:rPr>
            </w:pPr>
            <w:r w:rsidRPr="004E1381">
              <w:rPr>
                <w:rFonts w:ascii="Calibri" w:hAnsi="Calibri"/>
                <w:color w:val="000000"/>
                <w:sz w:val="20"/>
                <w:szCs w:val="20"/>
              </w:rPr>
              <w:t xml:space="preserve">      15.</w:t>
            </w:r>
            <w:r w:rsidR="002C66F0">
              <w:rPr>
                <w:rFonts w:ascii="Calibri" w:hAnsi="Calibri"/>
                <w:color w:val="000000"/>
                <w:sz w:val="20"/>
                <w:szCs w:val="20"/>
              </w:rPr>
              <w:t>78</w:t>
            </w:r>
            <w:r w:rsidRPr="004E1381">
              <w:rPr>
                <w:rFonts w:ascii="Calibri" w:hAnsi="Calibri"/>
                <w:color w:val="000000"/>
                <w:sz w:val="20"/>
                <w:szCs w:val="20"/>
              </w:rPr>
              <w:t xml:space="preserve"> </w:t>
            </w:r>
          </w:p>
        </w:tc>
        <w:tc>
          <w:tcPr>
            <w:tcW w:w="0" w:type="auto"/>
            <w:tcBorders>
              <w:top w:val="single" w:sz="8" w:space="0" w:color="auto"/>
              <w:left w:val="nil"/>
              <w:bottom w:val="nil"/>
              <w:right w:val="nil"/>
            </w:tcBorders>
            <w:shd w:val="clear" w:color="000000" w:fill="FFFFFF"/>
            <w:noWrap/>
            <w:vAlign w:val="bottom"/>
            <w:hideMark/>
          </w:tcPr>
          <w:p w14:paraId="59E85016"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single" w:sz="8" w:space="0" w:color="auto"/>
              <w:left w:val="nil"/>
              <w:bottom w:val="nil"/>
              <w:right w:val="nil"/>
            </w:tcBorders>
            <w:shd w:val="clear" w:color="000000" w:fill="FFFFFF"/>
            <w:noWrap/>
            <w:vAlign w:val="bottom"/>
            <w:hideMark/>
          </w:tcPr>
          <w:p w14:paraId="40553E13"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0" w:type="auto"/>
            <w:tcBorders>
              <w:top w:val="single" w:sz="8" w:space="0" w:color="auto"/>
              <w:left w:val="nil"/>
              <w:bottom w:val="nil"/>
              <w:right w:val="nil"/>
            </w:tcBorders>
            <w:shd w:val="clear" w:color="000000" w:fill="FFFFFF"/>
            <w:noWrap/>
            <w:vAlign w:val="bottom"/>
            <w:hideMark/>
          </w:tcPr>
          <w:p w14:paraId="213B2FD4" w14:textId="77777777" w:rsidR="00AF0375" w:rsidRPr="004E1381" w:rsidRDefault="00AF0375" w:rsidP="009D0470">
            <w:pPr>
              <w:rPr>
                <w:rFonts w:ascii="Calibri" w:hAnsi="Calibri"/>
                <w:color w:val="000000"/>
                <w:sz w:val="20"/>
                <w:szCs w:val="20"/>
              </w:rPr>
            </w:pPr>
            <w:r w:rsidRPr="004E1381">
              <w:rPr>
                <w:rFonts w:ascii="Calibri" w:hAnsi="Calibri"/>
                <w:color w:val="000000"/>
                <w:sz w:val="20"/>
                <w:szCs w:val="20"/>
              </w:rPr>
              <w:t> </w:t>
            </w:r>
          </w:p>
        </w:tc>
        <w:tc>
          <w:tcPr>
            <w:tcW w:w="236" w:type="dxa"/>
            <w:vAlign w:val="center"/>
            <w:hideMark/>
          </w:tcPr>
          <w:p w14:paraId="76A69215" w14:textId="77777777" w:rsidR="00AF0375" w:rsidRPr="00D16840" w:rsidRDefault="00AF0375" w:rsidP="009D0470">
            <w:pPr>
              <w:rPr>
                <w:sz w:val="20"/>
                <w:szCs w:val="20"/>
              </w:rPr>
            </w:pPr>
          </w:p>
        </w:tc>
        <w:tc>
          <w:tcPr>
            <w:tcW w:w="0" w:type="auto"/>
            <w:vAlign w:val="center"/>
            <w:hideMark/>
          </w:tcPr>
          <w:p w14:paraId="6F3F2710" w14:textId="77777777" w:rsidR="00AF0375" w:rsidRPr="00D16840" w:rsidRDefault="00AF0375" w:rsidP="009D0470">
            <w:pPr>
              <w:rPr>
                <w:sz w:val="20"/>
                <w:szCs w:val="20"/>
              </w:rPr>
            </w:pPr>
          </w:p>
        </w:tc>
        <w:tc>
          <w:tcPr>
            <w:tcW w:w="0" w:type="auto"/>
            <w:vAlign w:val="center"/>
            <w:hideMark/>
          </w:tcPr>
          <w:p w14:paraId="64CA7F54" w14:textId="77777777" w:rsidR="00AF0375" w:rsidRPr="00D16840" w:rsidRDefault="00AF0375" w:rsidP="009D0470">
            <w:pPr>
              <w:rPr>
                <w:sz w:val="20"/>
                <w:szCs w:val="20"/>
              </w:rPr>
            </w:pPr>
          </w:p>
        </w:tc>
        <w:tc>
          <w:tcPr>
            <w:tcW w:w="222" w:type="dxa"/>
            <w:vAlign w:val="center"/>
            <w:hideMark/>
          </w:tcPr>
          <w:p w14:paraId="4783B6B8" w14:textId="77777777" w:rsidR="00AF0375" w:rsidRPr="00D16840" w:rsidRDefault="00AF0375" w:rsidP="009D0470">
            <w:pPr>
              <w:rPr>
                <w:sz w:val="20"/>
                <w:szCs w:val="20"/>
              </w:rPr>
            </w:pPr>
          </w:p>
        </w:tc>
      </w:tr>
      <w:tr w:rsidR="002C66F0" w:rsidRPr="00D16840" w14:paraId="1F387214" w14:textId="77777777" w:rsidTr="004E1381">
        <w:trPr>
          <w:trHeight w:val="243"/>
        </w:trPr>
        <w:tc>
          <w:tcPr>
            <w:tcW w:w="3694" w:type="dxa"/>
            <w:tcBorders>
              <w:top w:val="nil"/>
              <w:left w:val="nil"/>
              <w:bottom w:val="nil"/>
              <w:right w:val="single" w:sz="8" w:space="0" w:color="auto"/>
            </w:tcBorders>
            <w:shd w:val="clear" w:color="000000" w:fill="FFFFFF"/>
            <w:noWrap/>
            <w:vAlign w:val="bottom"/>
          </w:tcPr>
          <w:p w14:paraId="0204268F" w14:textId="5941C651" w:rsidR="002C66F0" w:rsidRPr="004E1381" w:rsidRDefault="002C66F0" w:rsidP="002C66F0">
            <w:pPr>
              <w:rPr>
                <w:rFonts w:ascii="Calibri" w:hAnsi="Calibri"/>
                <w:color w:val="000000"/>
                <w:sz w:val="20"/>
                <w:szCs w:val="20"/>
              </w:rPr>
            </w:pPr>
            <w:r w:rsidRPr="004E1381">
              <w:rPr>
                <w:rFonts w:ascii="Calibri" w:hAnsi="Calibri"/>
                <w:color w:val="000000"/>
                <w:sz w:val="20"/>
                <w:szCs w:val="20"/>
              </w:rPr>
              <w:t>Diesel 371 kW O&amp;M ($/hr)</w:t>
            </w:r>
          </w:p>
        </w:tc>
        <w:tc>
          <w:tcPr>
            <w:tcW w:w="266" w:type="dxa"/>
            <w:tcBorders>
              <w:top w:val="nil"/>
              <w:left w:val="nil"/>
              <w:bottom w:val="nil"/>
              <w:right w:val="nil"/>
            </w:tcBorders>
            <w:shd w:val="clear" w:color="000000" w:fill="FFFFFF"/>
            <w:noWrap/>
            <w:vAlign w:val="bottom"/>
          </w:tcPr>
          <w:p w14:paraId="7447ED06" w14:textId="4B61FBE6" w:rsidR="002C66F0" w:rsidRPr="004E1381" w:rsidRDefault="002C66F0" w:rsidP="002C66F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tcPr>
          <w:p w14:paraId="065CFE6A" w14:textId="01040E8E" w:rsidR="002C66F0" w:rsidRPr="004E1381" w:rsidRDefault="002C66F0" w:rsidP="002C66F0">
            <w:pPr>
              <w:rPr>
                <w:rFonts w:ascii="Calibri" w:hAnsi="Calibri"/>
                <w:color w:val="000000"/>
                <w:sz w:val="20"/>
                <w:szCs w:val="20"/>
              </w:rPr>
            </w:pPr>
            <w:r w:rsidRPr="004E1381">
              <w:rPr>
                <w:rFonts w:ascii="Calibri" w:hAnsi="Calibri"/>
                <w:color w:val="000000"/>
                <w:sz w:val="20"/>
                <w:szCs w:val="20"/>
              </w:rPr>
              <w:t xml:space="preserve">      16.</w:t>
            </w:r>
            <w:r>
              <w:rPr>
                <w:rFonts w:ascii="Calibri" w:hAnsi="Calibri"/>
                <w:color w:val="000000"/>
                <w:sz w:val="20"/>
                <w:szCs w:val="20"/>
              </w:rPr>
              <w:t>45</w:t>
            </w:r>
            <w:r w:rsidRPr="004E1381">
              <w:rPr>
                <w:rFonts w:ascii="Calibri" w:hAnsi="Calibri"/>
                <w:color w:val="000000"/>
                <w:sz w:val="20"/>
                <w:szCs w:val="20"/>
              </w:rPr>
              <w:t xml:space="preserve"> </w:t>
            </w:r>
          </w:p>
        </w:tc>
        <w:tc>
          <w:tcPr>
            <w:tcW w:w="0" w:type="auto"/>
            <w:tcBorders>
              <w:top w:val="nil"/>
              <w:left w:val="nil"/>
              <w:bottom w:val="nil"/>
              <w:right w:val="nil"/>
            </w:tcBorders>
            <w:shd w:val="clear" w:color="000000" w:fill="FFFFFF"/>
            <w:noWrap/>
            <w:vAlign w:val="bottom"/>
          </w:tcPr>
          <w:p w14:paraId="3898DD09" w14:textId="77777777" w:rsidR="002C66F0" w:rsidRPr="004E1381" w:rsidRDefault="002C66F0" w:rsidP="002C66F0">
            <w:pPr>
              <w:rPr>
                <w:rFonts w:ascii="Calibri" w:hAnsi="Calibri"/>
                <w:color w:val="000000"/>
                <w:sz w:val="20"/>
                <w:szCs w:val="20"/>
              </w:rPr>
            </w:pPr>
          </w:p>
        </w:tc>
        <w:tc>
          <w:tcPr>
            <w:tcW w:w="0" w:type="auto"/>
            <w:tcBorders>
              <w:top w:val="nil"/>
              <w:left w:val="nil"/>
              <w:bottom w:val="nil"/>
              <w:right w:val="nil"/>
            </w:tcBorders>
            <w:shd w:val="clear" w:color="000000" w:fill="FFFFFF"/>
            <w:noWrap/>
            <w:vAlign w:val="bottom"/>
          </w:tcPr>
          <w:p w14:paraId="5B646268" w14:textId="77777777" w:rsidR="002C66F0" w:rsidRPr="004E1381" w:rsidRDefault="002C66F0" w:rsidP="002C66F0">
            <w:pPr>
              <w:rPr>
                <w:rFonts w:ascii="Calibri" w:hAnsi="Calibri"/>
                <w:color w:val="000000"/>
                <w:sz w:val="20"/>
                <w:szCs w:val="20"/>
              </w:rPr>
            </w:pPr>
          </w:p>
        </w:tc>
        <w:tc>
          <w:tcPr>
            <w:tcW w:w="0" w:type="auto"/>
            <w:tcBorders>
              <w:top w:val="nil"/>
              <w:left w:val="nil"/>
              <w:bottom w:val="nil"/>
              <w:right w:val="nil"/>
            </w:tcBorders>
            <w:shd w:val="clear" w:color="000000" w:fill="FFFFFF"/>
            <w:noWrap/>
            <w:vAlign w:val="bottom"/>
          </w:tcPr>
          <w:p w14:paraId="35201C34" w14:textId="77777777" w:rsidR="002C66F0" w:rsidRPr="004E1381" w:rsidRDefault="002C66F0" w:rsidP="002C66F0">
            <w:pPr>
              <w:rPr>
                <w:rFonts w:ascii="Calibri" w:hAnsi="Calibri"/>
                <w:color w:val="000000"/>
                <w:sz w:val="20"/>
                <w:szCs w:val="20"/>
              </w:rPr>
            </w:pPr>
          </w:p>
        </w:tc>
        <w:tc>
          <w:tcPr>
            <w:tcW w:w="236" w:type="dxa"/>
            <w:vAlign w:val="center"/>
          </w:tcPr>
          <w:p w14:paraId="2BE6CA5D" w14:textId="77777777" w:rsidR="002C66F0" w:rsidRPr="00D16840" w:rsidRDefault="002C66F0" w:rsidP="002C66F0">
            <w:pPr>
              <w:rPr>
                <w:sz w:val="20"/>
                <w:szCs w:val="20"/>
              </w:rPr>
            </w:pPr>
          </w:p>
        </w:tc>
        <w:tc>
          <w:tcPr>
            <w:tcW w:w="0" w:type="auto"/>
            <w:vAlign w:val="center"/>
          </w:tcPr>
          <w:p w14:paraId="4FEE1299" w14:textId="77777777" w:rsidR="002C66F0" w:rsidRPr="00D16840" w:rsidRDefault="002C66F0" w:rsidP="002C66F0">
            <w:pPr>
              <w:rPr>
                <w:sz w:val="20"/>
                <w:szCs w:val="20"/>
              </w:rPr>
            </w:pPr>
          </w:p>
        </w:tc>
        <w:tc>
          <w:tcPr>
            <w:tcW w:w="0" w:type="auto"/>
            <w:vAlign w:val="center"/>
          </w:tcPr>
          <w:p w14:paraId="7B4C55FD" w14:textId="77777777" w:rsidR="002C66F0" w:rsidRPr="00D16840" w:rsidRDefault="002C66F0" w:rsidP="002C66F0">
            <w:pPr>
              <w:rPr>
                <w:sz w:val="20"/>
                <w:szCs w:val="20"/>
              </w:rPr>
            </w:pPr>
          </w:p>
        </w:tc>
        <w:tc>
          <w:tcPr>
            <w:tcW w:w="222" w:type="dxa"/>
            <w:vAlign w:val="center"/>
          </w:tcPr>
          <w:p w14:paraId="3A8BC605" w14:textId="77777777" w:rsidR="002C66F0" w:rsidRPr="00D16840" w:rsidRDefault="002C66F0" w:rsidP="002C66F0">
            <w:pPr>
              <w:rPr>
                <w:sz w:val="20"/>
                <w:szCs w:val="20"/>
              </w:rPr>
            </w:pPr>
          </w:p>
        </w:tc>
      </w:tr>
      <w:tr w:rsidR="002C66F0" w:rsidRPr="00D16840" w14:paraId="28F3B757" w14:textId="77777777" w:rsidTr="004E1381">
        <w:trPr>
          <w:trHeight w:val="243"/>
        </w:trPr>
        <w:tc>
          <w:tcPr>
            <w:tcW w:w="3694" w:type="dxa"/>
            <w:tcBorders>
              <w:top w:val="nil"/>
              <w:left w:val="nil"/>
              <w:bottom w:val="nil"/>
              <w:right w:val="single" w:sz="8" w:space="0" w:color="auto"/>
            </w:tcBorders>
            <w:shd w:val="clear" w:color="000000" w:fill="FFFFFF"/>
            <w:noWrap/>
            <w:vAlign w:val="bottom"/>
          </w:tcPr>
          <w:p w14:paraId="05C4FDED" w14:textId="198B62B2" w:rsidR="002C66F0" w:rsidRPr="004E1381" w:rsidRDefault="002C66F0" w:rsidP="002C66F0">
            <w:pPr>
              <w:rPr>
                <w:rFonts w:ascii="Calibri" w:hAnsi="Calibri"/>
                <w:color w:val="000000"/>
                <w:sz w:val="20"/>
                <w:szCs w:val="20"/>
              </w:rPr>
            </w:pPr>
            <w:r w:rsidRPr="004E1381">
              <w:rPr>
                <w:rFonts w:ascii="Calibri" w:hAnsi="Calibri"/>
                <w:color w:val="000000"/>
                <w:sz w:val="20"/>
                <w:szCs w:val="20"/>
              </w:rPr>
              <w:t>Diesel 371 kW O&amp;M ($/hr)</w:t>
            </w:r>
          </w:p>
        </w:tc>
        <w:tc>
          <w:tcPr>
            <w:tcW w:w="266" w:type="dxa"/>
            <w:tcBorders>
              <w:top w:val="nil"/>
              <w:left w:val="nil"/>
              <w:bottom w:val="nil"/>
              <w:right w:val="nil"/>
            </w:tcBorders>
            <w:shd w:val="clear" w:color="000000" w:fill="FFFFFF"/>
            <w:noWrap/>
            <w:vAlign w:val="bottom"/>
          </w:tcPr>
          <w:p w14:paraId="714E194D" w14:textId="77777777" w:rsidR="002C66F0" w:rsidRPr="004E1381" w:rsidRDefault="002C66F0" w:rsidP="002C66F0">
            <w:pPr>
              <w:rPr>
                <w:rFonts w:ascii="Calibri" w:hAnsi="Calibri"/>
                <w:color w:val="000000"/>
                <w:sz w:val="20"/>
                <w:szCs w:val="20"/>
              </w:rPr>
            </w:pPr>
          </w:p>
        </w:tc>
        <w:tc>
          <w:tcPr>
            <w:tcW w:w="0" w:type="auto"/>
            <w:tcBorders>
              <w:top w:val="nil"/>
              <w:left w:val="nil"/>
              <w:bottom w:val="nil"/>
              <w:right w:val="nil"/>
            </w:tcBorders>
            <w:shd w:val="clear" w:color="000000" w:fill="FFFFFF"/>
            <w:noWrap/>
            <w:vAlign w:val="bottom"/>
          </w:tcPr>
          <w:p w14:paraId="5C2DA59E" w14:textId="54ADDCB0" w:rsidR="002C66F0" w:rsidRPr="004E1381" w:rsidRDefault="002C66F0" w:rsidP="002C66F0">
            <w:pPr>
              <w:rPr>
                <w:rFonts w:ascii="Calibri" w:hAnsi="Calibri"/>
                <w:color w:val="000000"/>
                <w:sz w:val="20"/>
                <w:szCs w:val="20"/>
              </w:rPr>
            </w:pPr>
            <w:r>
              <w:rPr>
                <w:rFonts w:ascii="Calibri" w:hAnsi="Calibri"/>
                <w:color w:val="000000"/>
                <w:sz w:val="20"/>
                <w:szCs w:val="20"/>
              </w:rPr>
              <w:t xml:space="preserve">      16.76</w:t>
            </w:r>
          </w:p>
        </w:tc>
        <w:tc>
          <w:tcPr>
            <w:tcW w:w="0" w:type="auto"/>
            <w:tcBorders>
              <w:top w:val="nil"/>
              <w:left w:val="nil"/>
              <w:bottom w:val="nil"/>
              <w:right w:val="nil"/>
            </w:tcBorders>
            <w:shd w:val="clear" w:color="000000" w:fill="FFFFFF"/>
            <w:noWrap/>
            <w:vAlign w:val="bottom"/>
          </w:tcPr>
          <w:p w14:paraId="5E3787F9" w14:textId="77777777" w:rsidR="002C66F0" w:rsidRPr="004E1381" w:rsidRDefault="002C66F0" w:rsidP="002C66F0">
            <w:pPr>
              <w:rPr>
                <w:rFonts w:ascii="Calibri" w:hAnsi="Calibri"/>
                <w:color w:val="000000"/>
                <w:sz w:val="20"/>
                <w:szCs w:val="20"/>
              </w:rPr>
            </w:pPr>
          </w:p>
        </w:tc>
        <w:tc>
          <w:tcPr>
            <w:tcW w:w="0" w:type="auto"/>
            <w:tcBorders>
              <w:top w:val="nil"/>
              <w:left w:val="nil"/>
              <w:bottom w:val="nil"/>
              <w:right w:val="nil"/>
            </w:tcBorders>
            <w:shd w:val="clear" w:color="000000" w:fill="FFFFFF"/>
            <w:noWrap/>
            <w:vAlign w:val="bottom"/>
          </w:tcPr>
          <w:p w14:paraId="136832AD" w14:textId="77777777" w:rsidR="002C66F0" w:rsidRPr="004E1381" w:rsidRDefault="002C66F0" w:rsidP="002C66F0">
            <w:pPr>
              <w:rPr>
                <w:rFonts w:ascii="Calibri" w:hAnsi="Calibri"/>
                <w:color w:val="000000"/>
                <w:sz w:val="20"/>
                <w:szCs w:val="20"/>
              </w:rPr>
            </w:pPr>
          </w:p>
        </w:tc>
        <w:tc>
          <w:tcPr>
            <w:tcW w:w="0" w:type="auto"/>
            <w:tcBorders>
              <w:top w:val="nil"/>
              <w:left w:val="nil"/>
              <w:bottom w:val="nil"/>
              <w:right w:val="nil"/>
            </w:tcBorders>
            <w:shd w:val="clear" w:color="000000" w:fill="FFFFFF"/>
            <w:noWrap/>
            <w:vAlign w:val="bottom"/>
          </w:tcPr>
          <w:p w14:paraId="1F6CDACF" w14:textId="77777777" w:rsidR="002C66F0" w:rsidRPr="004E1381" w:rsidRDefault="002C66F0" w:rsidP="002C66F0">
            <w:pPr>
              <w:rPr>
                <w:rFonts w:ascii="Calibri" w:hAnsi="Calibri"/>
                <w:color w:val="000000"/>
                <w:sz w:val="20"/>
                <w:szCs w:val="20"/>
              </w:rPr>
            </w:pPr>
          </w:p>
        </w:tc>
        <w:tc>
          <w:tcPr>
            <w:tcW w:w="236" w:type="dxa"/>
            <w:vAlign w:val="center"/>
          </w:tcPr>
          <w:p w14:paraId="2E130760" w14:textId="77777777" w:rsidR="002C66F0" w:rsidRPr="00D16840" w:rsidRDefault="002C66F0" w:rsidP="002C66F0">
            <w:pPr>
              <w:rPr>
                <w:sz w:val="20"/>
                <w:szCs w:val="20"/>
              </w:rPr>
            </w:pPr>
          </w:p>
        </w:tc>
        <w:tc>
          <w:tcPr>
            <w:tcW w:w="0" w:type="auto"/>
            <w:vAlign w:val="center"/>
          </w:tcPr>
          <w:p w14:paraId="2B0EAEFD" w14:textId="77777777" w:rsidR="002C66F0" w:rsidRPr="00D16840" w:rsidRDefault="002C66F0" w:rsidP="002C66F0">
            <w:pPr>
              <w:rPr>
                <w:sz w:val="20"/>
                <w:szCs w:val="20"/>
              </w:rPr>
            </w:pPr>
          </w:p>
        </w:tc>
        <w:tc>
          <w:tcPr>
            <w:tcW w:w="0" w:type="auto"/>
            <w:vAlign w:val="center"/>
          </w:tcPr>
          <w:p w14:paraId="6D5BF3D4" w14:textId="77777777" w:rsidR="002C66F0" w:rsidRPr="00D16840" w:rsidRDefault="002C66F0" w:rsidP="002C66F0">
            <w:pPr>
              <w:rPr>
                <w:sz w:val="20"/>
                <w:szCs w:val="20"/>
              </w:rPr>
            </w:pPr>
          </w:p>
        </w:tc>
        <w:tc>
          <w:tcPr>
            <w:tcW w:w="222" w:type="dxa"/>
            <w:vAlign w:val="center"/>
          </w:tcPr>
          <w:p w14:paraId="7BA5F6A3" w14:textId="77777777" w:rsidR="002C66F0" w:rsidRPr="00D16840" w:rsidRDefault="002C66F0" w:rsidP="002C66F0">
            <w:pPr>
              <w:rPr>
                <w:sz w:val="20"/>
                <w:szCs w:val="20"/>
              </w:rPr>
            </w:pPr>
          </w:p>
        </w:tc>
      </w:tr>
      <w:tr w:rsidR="002C66F0" w:rsidRPr="00D16840" w14:paraId="2677B5D8" w14:textId="77777777" w:rsidTr="004E1381">
        <w:trPr>
          <w:trHeight w:val="243"/>
        </w:trPr>
        <w:tc>
          <w:tcPr>
            <w:tcW w:w="3694" w:type="dxa"/>
            <w:tcBorders>
              <w:top w:val="nil"/>
              <w:left w:val="nil"/>
              <w:bottom w:val="nil"/>
              <w:right w:val="single" w:sz="8" w:space="0" w:color="auto"/>
            </w:tcBorders>
            <w:shd w:val="clear" w:color="000000" w:fill="FFFFFF"/>
            <w:noWrap/>
            <w:vAlign w:val="bottom"/>
            <w:hideMark/>
          </w:tcPr>
          <w:p w14:paraId="491CC075" w14:textId="77777777" w:rsidR="002C66F0" w:rsidRPr="004E1381" w:rsidRDefault="002C66F0" w:rsidP="002C66F0">
            <w:pPr>
              <w:rPr>
                <w:rFonts w:ascii="Calibri" w:hAnsi="Calibri"/>
                <w:color w:val="000000"/>
                <w:sz w:val="20"/>
                <w:szCs w:val="20"/>
              </w:rPr>
            </w:pPr>
            <w:r w:rsidRPr="004E1381">
              <w:rPr>
                <w:rFonts w:ascii="Calibri" w:hAnsi="Calibri"/>
                <w:color w:val="000000"/>
                <w:sz w:val="20"/>
                <w:szCs w:val="20"/>
              </w:rPr>
              <w:t>Diesel 371 kW O&amp;M ($/hr)</w:t>
            </w:r>
          </w:p>
        </w:tc>
        <w:tc>
          <w:tcPr>
            <w:tcW w:w="266" w:type="dxa"/>
            <w:tcBorders>
              <w:top w:val="nil"/>
              <w:left w:val="nil"/>
              <w:bottom w:val="nil"/>
              <w:right w:val="nil"/>
            </w:tcBorders>
            <w:shd w:val="clear" w:color="000000" w:fill="FFFFFF"/>
            <w:noWrap/>
            <w:vAlign w:val="bottom"/>
            <w:hideMark/>
          </w:tcPr>
          <w:p w14:paraId="6F1032D3" w14:textId="77777777" w:rsidR="002C66F0" w:rsidRPr="004E1381" w:rsidRDefault="002C66F0" w:rsidP="002C66F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5B7ABF30" w14:textId="12673294" w:rsidR="002C66F0" w:rsidRPr="004E1381" w:rsidRDefault="002C66F0" w:rsidP="002C66F0">
            <w:pPr>
              <w:rPr>
                <w:rFonts w:ascii="Calibri" w:hAnsi="Calibri"/>
                <w:color w:val="000000"/>
                <w:sz w:val="20"/>
                <w:szCs w:val="20"/>
              </w:rPr>
            </w:pPr>
            <w:r w:rsidRPr="004E1381">
              <w:rPr>
                <w:rFonts w:ascii="Calibri" w:hAnsi="Calibri"/>
                <w:color w:val="000000"/>
                <w:sz w:val="20"/>
                <w:szCs w:val="20"/>
              </w:rPr>
              <w:t xml:space="preserve">      </w:t>
            </w:r>
            <w:r>
              <w:rPr>
                <w:rFonts w:ascii="Calibri" w:hAnsi="Calibri"/>
                <w:color w:val="000000"/>
                <w:sz w:val="20"/>
                <w:szCs w:val="20"/>
              </w:rPr>
              <w:t>17.14</w:t>
            </w:r>
            <w:r w:rsidRPr="004E1381">
              <w:rPr>
                <w:rFonts w:ascii="Calibri" w:hAnsi="Calibri"/>
                <w:color w:val="000000"/>
                <w:sz w:val="20"/>
                <w:szCs w:val="20"/>
              </w:rPr>
              <w:t xml:space="preserve"> </w:t>
            </w:r>
          </w:p>
        </w:tc>
        <w:tc>
          <w:tcPr>
            <w:tcW w:w="0" w:type="auto"/>
            <w:tcBorders>
              <w:top w:val="nil"/>
              <w:left w:val="nil"/>
              <w:bottom w:val="nil"/>
              <w:right w:val="nil"/>
            </w:tcBorders>
            <w:shd w:val="clear" w:color="000000" w:fill="FFFFFF"/>
            <w:noWrap/>
            <w:vAlign w:val="bottom"/>
            <w:hideMark/>
          </w:tcPr>
          <w:p w14:paraId="0F057C11" w14:textId="77777777" w:rsidR="002C66F0" w:rsidRPr="004E1381" w:rsidRDefault="002C66F0" w:rsidP="002C66F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607553AB" w14:textId="77777777" w:rsidR="002C66F0" w:rsidRPr="004E1381" w:rsidRDefault="002C66F0" w:rsidP="002C66F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1017A981" w14:textId="77777777" w:rsidR="002C66F0" w:rsidRPr="004E1381" w:rsidRDefault="002C66F0" w:rsidP="002C66F0">
            <w:pPr>
              <w:rPr>
                <w:rFonts w:ascii="Calibri" w:hAnsi="Calibri"/>
                <w:color w:val="000000"/>
                <w:sz w:val="20"/>
                <w:szCs w:val="20"/>
              </w:rPr>
            </w:pPr>
            <w:r w:rsidRPr="004E1381">
              <w:rPr>
                <w:rFonts w:ascii="Calibri" w:hAnsi="Calibri"/>
                <w:color w:val="000000"/>
                <w:sz w:val="20"/>
                <w:szCs w:val="20"/>
              </w:rPr>
              <w:t> </w:t>
            </w:r>
          </w:p>
        </w:tc>
        <w:tc>
          <w:tcPr>
            <w:tcW w:w="236" w:type="dxa"/>
            <w:vAlign w:val="center"/>
            <w:hideMark/>
          </w:tcPr>
          <w:p w14:paraId="76CE804B" w14:textId="77777777" w:rsidR="002C66F0" w:rsidRPr="00D16840" w:rsidRDefault="002C66F0" w:rsidP="002C66F0">
            <w:pPr>
              <w:rPr>
                <w:sz w:val="20"/>
                <w:szCs w:val="20"/>
              </w:rPr>
            </w:pPr>
          </w:p>
        </w:tc>
        <w:tc>
          <w:tcPr>
            <w:tcW w:w="0" w:type="auto"/>
            <w:vAlign w:val="center"/>
            <w:hideMark/>
          </w:tcPr>
          <w:p w14:paraId="6B1CB38E" w14:textId="77777777" w:rsidR="002C66F0" w:rsidRPr="00D16840" w:rsidRDefault="002C66F0" w:rsidP="002C66F0">
            <w:pPr>
              <w:rPr>
                <w:sz w:val="20"/>
                <w:szCs w:val="20"/>
              </w:rPr>
            </w:pPr>
          </w:p>
        </w:tc>
        <w:tc>
          <w:tcPr>
            <w:tcW w:w="0" w:type="auto"/>
            <w:vAlign w:val="center"/>
            <w:hideMark/>
          </w:tcPr>
          <w:p w14:paraId="47214798" w14:textId="77777777" w:rsidR="002C66F0" w:rsidRPr="00D16840" w:rsidRDefault="002C66F0" w:rsidP="002C66F0">
            <w:pPr>
              <w:rPr>
                <w:sz w:val="20"/>
                <w:szCs w:val="20"/>
              </w:rPr>
            </w:pPr>
          </w:p>
        </w:tc>
        <w:tc>
          <w:tcPr>
            <w:tcW w:w="222" w:type="dxa"/>
            <w:vAlign w:val="center"/>
            <w:hideMark/>
          </w:tcPr>
          <w:p w14:paraId="62C4798B" w14:textId="77777777" w:rsidR="002C66F0" w:rsidRPr="00D16840" w:rsidRDefault="002C66F0" w:rsidP="002C66F0">
            <w:pPr>
              <w:rPr>
                <w:sz w:val="20"/>
                <w:szCs w:val="20"/>
              </w:rPr>
            </w:pPr>
          </w:p>
        </w:tc>
      </w:tr>
      <w:tr w:rsidR="002C66F0" w:rsidRPr="00D16840" w14:paraId="6542A625" w14:textId="77777777" w:rsidTr="004E1381">
        <w:trPr>
          <w:trHeight w:val="243"/>
        </w:trPr>
        <w:tc>
          <w:tcPr>
            <w:tcW w:w="3694" w:type="dxa"/>
            <w:tcBorders>
              <w:top w:val="nil"/>
              <w:left w:val="nil"/>
              <w:bottom w:val="single" w:sz="8" w:space="0" w:color="auto"/>
              <w:right w:val="single" w:sz="8" w:space="0" w:color="auto"/>
            </w:tcBorders>
            <w:shd w:val="clear" w:color="000000" w:fill="FFFFFF"/>
            <w:noWrap/>
            <w:vAlign w:val="bottom"/>
            <w:hideMark/>
          </w:tcPr>
          <w:p w14:paraId="5987EBF8" w14:textId="168F2639" w:rsidR="002C66F0" w:rsidRPr="004E1381" w:rsidRDefault="006E1F01" w:rsidP="002C66F0">
            <w:pPr>
              <w:rPr>
                <w:rFonts w:ascii="Calibri" w:hAnsi="Calibri"/>
                <w:color w:val="000000"/>
                <w:sz w:val="20"/>
                <w:szCs w:val="20"/>
              </w:rPr>
            </w:pPr>
            <w:r>
              <w:rPr>
                <w:rFonts w:ascii="Calibri" w:hAnsi="Calibri"/>
                <w:color w:val="000000"/>
                <w:sz w:val="20"/>
                <w:szCs w:val="20"/>
              </w:rPr>
              <w:t>Average diesel</w:t>
            </w:r>
            <w:r w:rsidR="002C66F0" w:rsidRPr="004E1381">
              <w:rPr>
                <w:rFonts w:ascii="Calibri" w:hAnsi="Calibri"/>
                <w:color w:val="000000"/>
                <w:sz w:val="20"/>
                <w:szCs w:val="20"/>
              </w:rPr>
              <w:t xml:space="preserve"> fuel ($/kWh)</w:t>
            </w:r>
          </w:p>
        </w:tc>
        <w:tc>
          <w:tcPr>
            <w:tcW w:w="266" w:type="dxa"/>
            <w:tcBorders>
              <w:top w:val="nil"/>
              <w:left w:val="nil"/>
              <w:bottom w:val="single" w:sz="8" w:space="0" w:color="auto"/>
              <w:right w:val="nil"/>
            </w:tcBorders>
            <w:shd w:val="clear" w:color="000000" w:fill="FFFFFF"/>
            <w:noWrap/>
            <w:vAlign w:val="bottom"/>
            <w:hideMark/>
          </w:tcPr>
          <w:p w14:paraId="4E747464" w14:textId="77777777" w:rsidR="002C66F0" w:rsidRPr="004E1381" w:rsidRDefault="002C66F0" w:rsidP="002C66F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single" w:sz="8" w:space="0" w:color="auto"/>
              <w:right w:val="nil"/>
            </w:tcBorders>
            <w:shd w:val="clear" w:color="000000" w:fill="FFFFFF"/>
            <w:noWrap/>
            <w:vAlign w:val="bottom"/>
            <w:hideMark/>
          </w:tcPr>
          <w:p w14:paraId="64A1FE5C" w14:textId="24B78FC6" w:rsidR="002C66F0" w:rsidRPr="004E1381" w:rsidRDefault="002C66F0" w:rsidP="006E1F01">
            <w:pPr>
              <w:jc w:val="right"/>
              <w:rPr>
                <w:rFonts w:ascii="Calibri" w:hAnsi="Calibri"/>
                <w:color w:val="000000"/>
                <w:sz w:val="20"/>
                <w:szCs w:val="20"/>
              </w:rPr>
            </w:pPr>
            <w:r w:rsidRPr="004E1381">
              <w:rPr>
                <w:rFonts w:ascii="Calibri" w:hAnsi="Calibri"/>
                <w:color w:val="000000"/>
                <w:sz w:val="20"/>
                <w:szCs w:val="20"/>
              </w:rPr>
              <w:t>0.</w:t>
            </w:r>
            <w:r w:rsidR="006E1F01">
              <w:rPr>
                <w:rFonts w:ascii="Calibri" w:hAnsi="Calibri"/>
                <w:color w:val="000000"/>
                <w:sz w:val="20"/>
                <w:szCs w:val="20"/>
              </w:rPr>
              <w:t>5305</w:t>
            </w:r>
          </w:p>
        </w:tc>
        <w:tc>
          <w:tcPr>
            <w:tcW w:w="0" w:type="auto"/>
            <w:tcBorders>
              <w:top w:val="nil"/>
              <w:left w:val="nil"/>
              <w:bottom w:val="single" w:sz="8" w:space="0" w:color="auto"/>
              <w:right w:val="nil"/>
            </w:tcBorders>
            <w:shd w:val="clear" w:color="000000" w:fill="FFFFFF"/>
            <w:noWrap/>
            <w:vAlign w:val="bottom"/>
            <w:hideMark/>
          </w:tcPr>
          <w:p w14:paraId="35A80E0D" w14:textId="77777777" w:rsidR="002C66F0" w:rsidRPr="004E1381" w:rsidRDefault="002C66F0" w:rsidP="002C66F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single" w:sz="8" w:space="0" w:color="auto"/>
              <w:right w:val="nil"/>
            </w:tcBorders>
            <w:shd w:val="clear" w:color="000000" w:fill="FFFFFF"/>
            <w:noWrap/>
            <w:vAlign w:val="bottom"/>
            <w:hideMark/>
          </w:tcPr>
          <w:p w14:paraId="0B2FE184" w14:textId="77777777" w:rsidR="002C66F0" w:rsidRPr="004E1381" w:rsidRDefault="002C66F0" w:rsidP="002C66F0">
            <w:pPr>
              <w:rPr>
                <w:rFonts w:ascii="Calibri" w:hAnsi="Calibri"/>
                <w:color w:val="000000"/>
                <w:sz w:val="20"/>
                <w:szCs w:val="20"/>
              </w:rPr>
            </w:pPr>
            <w:r w:rsidRPr="004E1381">
              <w:rPr>
                <w:rFonts w:ascii="Calibri" w:hAnsi="Calibri"/>
                <w:color w:val="000000"/>
                <w:sz w:val="20"/>
                <w:szCs w:val="20"/>
              </w:rPr>
              <w:t> </w:t>
            </w:r>
          </w:p>
        </w:tc>
        <w:tc>
          <w:tcPr>
            <w:tcW w:w="0" w:type="auto"/>
            <w:tcBorders>
              <w:top w:val="nil"/>
              <w:left w:val="nil"/>
              <w:bottom w:val="single" w:sz="8" w:space="0" w:color="auto"/>
              <w:right w:val="nil"/>
            </w:tcBorders>
            <w:shd w:val="clear" w:color="000000" w:fill="FFFFFF"/>
            <w:noWrap/>
            <w:vAlign w:val="bottom"/>
            <w:hideMark/>
          </w:tcPr>
          <w:p w14:paraId="46EB41CB" w14:textId="77777777" w:rsidR="002C66F0" w:rsidRPr="004E1381" w:rsidRDefault="002C66F0" w:rsidP="002C66F0">
            <w:pPr>
              <w:rPr>
                <w:rFonts w:ascii="Calibri" w:hAnsi="Calibri"/>
                <w:color w:val="000000"/>
                <w:sz w:val="20"/>
                <w:szCs w:val="20"/>
              </w:rPr>
            </w:pPr>
            <w:r w:rsidRPr="004E1381">
              <w:rPr>
                <w:rFonts w:ascii="Calibri" w:hAnsi="Calibri"/>
                <w:color w:val="000000"/>
                <w:sz w:val="20"/>
                <w:szCs w:val="20"/>
              </w:rPr>
              <w:t> </w:t>
            </w:r>
          </w:p>
        </w:tc>
        <w:tc>
          <w:tcPr>
            <w:tcW w:w="236" w:type="dxa"/>
            <w:vAlign w:val="center"/>
            <w:hideMark/>
          </w:tcPr>
          <w:p w14:paraId="4A47F577" w14:textId="77777777" w:rsidR="002C66F0" w:rsidRPr="00D16840" w:rsidRDefault="002C66F0" w:rsidP="002C66F0">
            <w:pPr>
              <w:rPr>
                <w:sz w:val="20"/>
                <w:szCs w:val="20"/>
              </w:rPr>
            </w:pPr>
          </w:p>
        </w:tc>
        <w:tc>
          <w:tcPr>
            <w:tcW w:w="0" w:type="auto"/>
            <w:vAlign w:val="center"/>
            <w:hideMark/>
          </w:tcPr>
          <w:p w14:paraId="45A0C593" w14:textId="77777777" w:rsidR="002C66F0" w:rsidRPr="00D16840" w:rsidRDefault="002C66F0" w:rsidP="002C66F0">
            <w:pPr>
              <w:rPr>
                <w:sz w:val="20"/>
                <w:szCs w:val="20"/>
              </w:rPr>
            </w:pPr>
          </w:p>
        </w:tc>
        <w:tc>
          <w:tcPr>
            <w:tcW w:w="0" w:type="auto"/>
            <w:vAlign w:val="center"/>
            <w:hideMark/>
          </w:tcPr>
          <w:p w14:paraId="43C86F18" w14:textId="77777777" w:rsidR="002C66F0" w:rsidRPr="00D16840" w:rsidRDefault="002C66F0" w:rsidP="002C66F0">
            <w:pPr>
              <w:rPr>
                <w:sz w:val="20"/>
                <w:szCs w:val="20"/>
              </w:rPr>
            </w:pPr>
          </w:p>
        </w:tc>
        <w:tc>
          <w:tcPr>
            <w:tcW w:w="222" w:type="dxa"/>
            <w:vAlign w:val="center"/>
            <w:hideMark/>
          </w:tcPr>
          <w:p w14:paraId="7B5ACBA0" w14:textId="77777777" w:rsidR="002C66F0" w:rsidRPr="00D16840" w:rsidRDefault="002C66F0" w:rsidP="002C66F0">
            <w:pPr>
              <w:rPr>
                <w:sz w:val="20"/>
                <w:szCs w:val="20"/>
              </w:rPr>
            </w:pPr>
          </w:p>
        </w:tc>
      </w:tr>
    </w:tbl>
    <w:p w14:paraId="4D86C19B" w14:textId="77777777" w:rsidR="00AF0375" w:rsidRDefault="00AF0375" w:rsidP="00AF0375"/>
    <w:p w14:paraId="018E472B" w14:textId="6D543421" w:rsidR="005832BD" w:rsidRPr="00AF0375" w:rsidRDefault="005832BD" w:rsidP="00AF0375">
      <w:r>
        <w:t>Fixed O&amp;M costs for diesel generation are not avoidable while diesel fuel costs are avoidable. Note that some non-fuel O&amp;M costs associated with the diesel are hourly, meaning that they are only incurred if the diesel generator is operating. Thus if diesel generation is to be maintained in the village, fixed O&amp;M costs are required regardless of the extent to which the diesel operates. But hourly O&amp;M and fuel charges change by the amount of time the diesel generation is operated.</w:t>
      </w:r>
      <w:r w:rsidR="00BD5CD2">
        <w:t xml:space="preserve"> </w:t>
      </w:r>
      <w:r>
        <w:t>Similarly</w:t>
      </w:r>
      <w:r w:rsidR="00E101B1">
        <w:t>,</w:t>
      </w:r>
      <w:r>
        <w:t xml:space="preserve"> O&amp;M for renewables such as wind and solar are considered variable</w:t>
      </w:r>
      <w:r w:rsidRPr="00942C94">
        <w:t xml:space="preserve"> </w:t>
      </w:r>
      <w:r>
        <w:t>because they are still future costs and can’t be avoided</w:t>
      </w:r>
      <w:r w:rsidRPr="00127BB5">
        <w:t>.</w:t>
      </w:r>
      <w:r>
        <w:t xml:space="preserve"> They are also dependent on run-time hours for wind.</w:t>
      </w:r>
    </w:p>
    <w:p w14:paraId="2D0C3DDC" w14:textId="539AFCD9" w:rsidR="005D7C6B" w:rsidRDefault="00AF0375" w:rsidP="00AF0375">
      <w:pPr>
        <w:spacing w:before="120"/>
      </w:pPr>
      <w:r>
        <w:t>The characteristics of the batteries used in the analysis are shown in Table 4-2. Note the largest size</w:t>
      </w:r>
      <w:r w:rsidR="00DE4155">
        <w:t xml:space="preserve"> in the table</w:t>
      </w:r>
      <w:r>
        <w:t xml:space="preserve"> is 100 kW / 100 kWh. The battery has a $50,000 integration cost and then is estimated to cost $700/kW for the first 200 kW and $480/kW over 200 kW installed. The replacement costs are slightly lower with an initial cost of $37,500 instead of 450,000. Converter upfront costs are similar. Replacement of the </w:t>
      </w:r>
      <w:r w:rsidR="005832BD">
        <w:t xml:space="preserve">converter </w:t>
      </w:r>
      <w:r>
        <w:t xml:space="preserve">was assumed to </w:t>
      </w:r>
      <w:r w:rsidR="005832BD">
        <w:t>occur at the</w:t>
      </w:r>
      <w:r>
        <w:t xml:space="preserve"> end of year. </w:t>
      </w:r>
      <w:r w:rsidR="005939AC">
        <w:t>Battery life is often specified in charge-discharge cycles rather years (assuming the battery is part of routine use).</w:t>
      </w:r>
    </w:p>
    <w:p w14:paraId="49ADF61D" w14:textId="77777777" w:rsidR="005D7C6B" w:rsidRPr="00127BB5" w:rsidRDefault="005D7C6B" w:rsidP="005D7C6B"/>
    <w:p w14:paraId="31C7A488" w14:textId="77777777" w:rsidR="005D7C6B" w:rsidRDefault="005D7C6B" w:rsidP="005D7C6B">
      <w:pPr>
        <w:rPr>
          <w:b/>
        </w:rPr>
      </w:pPr>
      <w:r>
        <w:rPr>
          <w:b/>
        </w:rPr>
        <w:br w:type="page"/>
      </w:r>
    </w:p>
    <w:p w14:paraId="270A9192" w14:textId="737A1F9C" w:rsidR="005D7C6B" w:rsidRPr="00033A7F" w:rsidRDefault="00033A7F" w:rsidP="00033A7F">
      <w:pPr>
        <w:pStyle w:val="Caption"/>
      </w:pPr>
      <w:bookmarkStart w:id="17" w:name="_Toc496624242"/>
      <w:r w:rsidRPr="00033A7F">
        <w:rPr>
          <w:b/>
        </w:rPr>
        <w:lastRenderedPageBreak/>
        <w:t xml:space="preserve">Table </w:t>
      </w:r>
      <w:r>
        <w:rPr>
          <w:b/>
        </w:rPr>
        <w:fldChar w:fldCharType="begin"/>
      </w:r>
      <w:r>
        <w:rPr>
          <w:b/>
        </w:rPr>
        <w:instrText xml:space="preserve"> STYLEREF 1 \s </w:instrText>
      </w:r>
      <w:r>
        <w:rPr>
          <w:b/>
        </w:rPr>
        <w:fldChar w:fldCharType="separate"/>
      </w:r>
      <w:r>
        <w:rPr>
          <w:b/>
          <w:noProof/>
        </w:rPr>
        <w:t>4</w:t>
      </w:r>
      <w:r>
        <w:rPr>
          <w:b/>
        </w:rPr>
        <w:fldChar w:fldCharType="end"/>
      </w:r>
      <w:r>
        <w:rPr>
          <w:b/>
        </w:rPr>
        <w:noBreakHyphen/>
      </w:r>
      <w:r>
        <w:rPr>
          <w:b/>
        </w:rPr>
        <w:fldChar w:fldCharType="begin"/>
      </w:r>
      <w:r>
        <w:rPr>
          <w:b/>
        </w:rPr>
        <w:instrText xml:space="preserve"> SEQ Table \* ARABIC \s 1 </w:instrText>
      </w:r>
      <w:r>
        <w:rPr>
          <w:b/>
        </w:rPr>
        <w:fldChar w:fldCharType="separate"/>
      </w:r>
      <w:r>
        <w:rPr>
          <w:b/>
          <w:noProof/>
        </w:rPr>
        <w:t>2</w:t>
      </w:r>
      <w:r>
        <w:rPr>
          <w:b/>
        </w:rPr>
        <w:fldChar w:fldCharType="end"/>
      </w:r>
      <w:r w:rsidR="005D7C6B" w:rsidRPr="00033A7F">
        <w:rPr>
          <w:b/>
        </w:rPr>
        <w:t>:</w:t>
      </w:r>
      <w:r w:rsidR="005D7C6B" w:rsidRPr="005D7C6B">
        <w:t xml:space="preserve"> </w:t>
      </w:r>
      <w:r w:rsidR="005D7C6B" w:rsidRPr="00033A7F">
        <w:t>Battery statistics by size</w:t>
      </w:r>
      <w:bookmarkEnd w:id="17"/>
    </w:p>
    <w:tbl>
      <w:tblPr>
        <w:tblW w:w="8280" w:type="dxa"/>
        <w:jc w:val="center"/>
        <w:tblLook w:val="04A0" w:firstRow="1" w:lastRow="0" w:firstColumn="1" w:lastColumn="0" w:noHBand="0" w:noVBand="1"/>
      </w:tblPr>
      <w:tblGrid>
        <w:gridCol w:w="2700"/>
        <w:gridCol w:w="1736"/>
        <w:gridCol w:w="1954"/>
        <w:gridCol w:w="1890"/>
      </w:tblGrid>
      <w:tr w:rsidR="005D7C6B" w:rsidRPr="001F73D0" w14:paraId="30C37D18" w14:textId="77777777" w:rsidTr="00033A7F">
        <w:trPr>
          <w:trHeight w:val="300"/>
          <w:jc w:val="center"/>
        </w:trPr>
        <w:tc>
          <w:tcPr>
            <w:tcW w:w="2700" w:type="dxa"/>
            <w:tcBorders>
              <w:top w:val="single" w:sz="8" w:space="0" w:color="auto"/>
              <w:left w:val="nil"/>
              <w:bottom w:val="single" w:sz="8" w:space="0" w:color="auto"/>
              <w:right w:val="nil"/>
            </w:tcBorders>
            <w:shd w:val="clear" w:color="auto" w:fill="auto"/>
            <w:noWrap/>
            <w:hideMark/>
          </w:tcPr>
          <w:p w14:paraId="42089D12" w14:textId="77777777" w:rsidR="005D7C6B" w:rsidRPr="004E1381" w:rsidRDefault="005D7C6B" w:rsidP="00033A7F">
            <w:pPr>
              <w:rPr>
                <w:rFonts w:ascii="Calibri" w:hAnsi="Calibri"/>
                <w:b/>
                <w:bCs/>
                <w:color w:val="000000"/>
                <w:sz w:val="20"/>
                <w:szCs w:val="20"/>
              </w:rPr>
            </w:pPr>
            <w:r w:rsidRPr="004E1381">
              <w:rPr>
                <w:rFonts w:ascii="Calibri" w:hAnsi="Calibri"/>
                <w:b/>
                <w:bCs/>
                <w:color w:val="000000"/>
                <w:sz w:val="20"/>
                <w:szCs w:val="20"/>
              </w:rPr>
              <w:t>Item</w:t>
            </w:r>
          </w:p>
        </w:tc>
        <w:tc>
          <w:tcPr>
            <w:tcW w:w="1736" w:type="dxa"/>
            <w:tcBorders>
              <w:top w:val="single" w:sz="8" w:space="0" w:color="auto"/>
              <w:left w:val="nil"/>
              <w:bottom w:val="single" w:sz="8" w:space="0" w:color="auto"/>
              <w:right w:val="nil"/>
            </w:tcBorders>
            <w:shd w:val="clear" w:color="auto" w:fill="auto"/>
            <w:noWrap/>
            <w:hideMark/>
          </w:tcPr>
          <w:p w14:paraId="5F7E9AC5" w14:textId="77777777" w:rsidR="005D7C6B" w:rsidRPr="004E1381" w:rsidRDefault="005D7C6B" w:rsidP="00033A7F">
            <w:pPr>
              <w:rPr>
                <w:rFonts w:ascii="Calibri" w:hAnsi="Calibri"/>
                <w:b/>
                <w:bCs/>
                <w:color w:val="000000"/>
                <w:sz w:val="20"/>
                <w:szCs w:val="20"/>
              </w:rPr>
            </w:pPr>
            <w:r w:rsidRPr="004E1381">
              <w:rPr>
                <w:rFonts w:ascii="Calibri" w:hAnsi="Calibri"/>
                <w:b/>
                <w:bCs/>
                <w:color w:val="000000"/>
                <w:sz w:val="20"/>
                <w:szCs w:val="20"/>
              </w:rPr>
              <w:t>Bat 100/100</w:t>
            </w:r>
          </w:p>
        </w:tc>
        <w:tc>
          <w:tcPr>
            <w:tcW w:w="1954" w:type="dxa"/>
            <w:tcBorders>
              <w:top w:val="single" w:sz="8" w:space="0" w:color="auto"/>
              <w:left w:val="nil"/>
              <w:bottom w:val="single" w:sz="8" w:space="0" w:color="auto"/>
              <w:right w:val="nil"/>
            </w:tcBorders>
            <w:shd w:val="clear" w:color="auto" w:fill="auto"/>
            <w:noWrap/>
            <w:hideMark/>
          </w:tcPr>
          <w:p w14:paraId="1704729A" w14:textId="77777777" w:rsidR="005D7C6B" w:rsidRPr="004E1381" w:rsidRDefault="005D7C6B" w:rsidP="00033A7F">
            <w:pPr>
              <w:rPr>
                <w:rFonts w:ascii="Calibri" w:hAnsi="Calibri"/>
                <w:b/>
                <w:bCs/>
                <w:color w:val="000000"/>
                <w:sz w:val="20"/>
                <w:szCs w:val="20"/>
              </w:rPr>
            </w:pPr>
            <w:r w:rsidRPr="004E1381">
              <w:rPr>
                <w:rFonts w:ascii="Calibri" w:hAnsi="Calibri"/>
                <w:b/>
                <w:bCs/>
                <w:color w:val="000000"/>
                <w:sz w:val="20"/>
                <w:szCs w:val="20"/>
              </w:rPr>
              <w:t>Bat 50/50</w:t>
            </w:r>
          </w:p>
        </w:tc>
        <w:tc>
          <w:tcPr>
            <w:tcW w:w="1890" w:type="dxa"/>
            <w:tcBorders>
              <w:top w:val="single" w:sz="8" w:space="0" w:color="auto"/>
              <w:left w:val="nil"/>
              <w:bottom w:val="single" w:sz="8" w:space="0" w:color="auto"/>
              <w:right w:val="nil"/>
            </w:tcBorders>
            <w:shd w:val="clear" w:color="auto" w:fill="auto"/>
            <w:noWrap/>
            <w:hideMark/>
          </w:tcPr>
          <w:p w14:paraId="20AD3B2A" w14:textId="77777777" w:rsidR="005D7C6B" w:rsidRPr="004E1381" w:rsidRDefault="005D7C6B" w:rsidP="00033A7F">
            <w:pPr>
              <w:rPr>
                <w:rFonts w:ascii="Calibri" w:hAnsi="Calibri"/>
                <w:b/>
                <w:bCs/>
                <w:color w:val="000000"/>
                <w:sz w:val="20"/>
                <w:szCs w:val="20"/>
              </w:rPr>
            </w:pPr>
            <w:r w:rsidRPr="004E1381">
              <w:rPr>
                <w:rFonts w:ascii="Calibri" w:hAnsi="Calibri"/>
                <w:b/>
                <w:bCs/>
                <w:color w:val="000000"/>
                <w:sz w:val="20"/>
                <w:szCs w:val="20"/>
              </w:rPr>
              <w:t>Bat 10/10</w:t>
            </w:r>
          </w:p>
        </w:tc>
      </w:tr>
      <w:tr w:rsidR="005D7C6B" w:rsidRPr="001F73D0" w14:paraId="528A2FDF" w14:textId="77777777" w:rsidTr="00033A7F">
        <w:trPr>
          <w:trHeight w:val="288"/>
          <w:jc w:val="center"/>
        </w:trPr>
        <w:tc>
          <w:tcPr>
            <w:tcW w:w="2700" w:type="dxa"/>
            <w:tcBorders>
              <w:top w:val="nil"/>
              <w:left w:val="nil"/>
              <w:bottom w:val="nil"/>
              <w:right w:val="nil"/>
            </w:tcBorders>
            <w:shd w:val="clear" w:color="auto" w:fill="auto"/>
            <w:noWrap/>
            <w:hideMark/>
          </w:tcPr>
          <w:p w14:paraId="56A2DC75" w14:textId="77777777" w:rsidR="005D7C6B" w:rsidRPr="004E1381" w:rsidRDefault="005D7C6B" w:rsidP="00033A7F">
            <w:pPr>
              <w:rPr>
                <w:rFonts w:ascii="Calibri" w:hAnsi="Calibri" w:cstheme="majorHAnsi"/>
                <w:color w:val="000000"/>
                <w:sz w:val="20"/>
                <w:szCs w:val="20"/>
              </w:rPr>
            </w:pPr>
            <w:r w:rsidRPr="004E1381">
              <w:rPr>
                <w:rFonts w:ascii="Calibri" w:hAnsi="Calibri" w:cstheme="majorHAnsi"/>
                <w:color w:val="000000"/>
                <w:sz w:val="20"/>
                <w:szCs w:val="20"/>
              </w:rPr>
              <w:t>Cost</w:t>
            </w:r>
          </w:p>
        </w:tc>
        <w:tc>
          <w:tcPr>
            <w:tcW w:w="1736" w:type="dxa"/>
            <w:tcBorders>
              <w:top w:val="nil"/>
              <w:left w:val="nil"/>
              <w:bottom w:val="nil"/>
              <w:right w:val="nil"/>
            </w:tcBorders>
            <w:shd w:val="clear" w:color="auto" w:fill="auto"/>
            <w:noWrap/>
            <w:hideMark/>
          </w:tcPr>
          <w:p w14:paraId="40F04D12" w14:textId="77777777" w:rsidR="005D7C6B" w:rsidRPr="004E1381" w:rsidRDefault="005D7C6B" w:rsidP="00033A7F">
            <w:pPr>
              <w:jc w:val="right"/>
              <w:rPr>
                <w:rFonts w:ascii="Calibri" w:hAnsi="Calibri" w:cstheme="majorHAnsi"/>
                <w:color w:val="000000"/>
                <w:sz w:val="20"/>
                <w:szCs w:val="20"/>
              </w:rPr>
            </w:pPr>
            <w:r w:rsidRPr="004E1381">
              <w:rPr>
                <w:rFonts w:ascii="Calibri" w:hAnsi="Calibri" w:cstheme="majorHAnsi"/>
                <w:color w:val="000000"/>
                <w:sz w:val="20"/>
                <w:szCs w:val="20"/>
              </w:rPr>
              <w:t>$150,000</w:t>
            </w:r>
          </w:p>
        </w:tc>
        <w:tc>
          <w:tcPr>
            <w:tcW w:w="1954" w:type="dxa"/>
            <w:tcBorders>
              <w:top w:val="nil"/>
              <w:left w:val="nil"/>
              <w:bottom w:val="nil"/>
              <w:right w:val="nil"/>
            </w:tcBorders>
            <w:shd w:val="clear" w:color="auto" w:fill="auto"/>
            <w:noWrap/>
            <w:hideMark/>
          </w:tcPr>
          <w:p w14:paraId="5DC979D6" w14:textId="77777777" w:rsidR="005D7C6B" w:rsidRPr="004E1381" w:rsidRDefault="005D7C6B" w:rsidP="00033A7F">
            <w:pPr>
              <w:ind w:firstLineChars="100" w:firstLine="200"/>
              <w:jc w:val="right"/>
              <w:rPr>
                <w:rFonts w:ascii="Calibri" w:hAnsi="Calibri" w:cstheme="majorHAnsi"/>
                <w:color w:val="000000"/>
                <w:sz w:val="20"/>
                <w:szCs w:val="20"/>
              </w:rPr>
            </w:pPr>
            <w:r w:rsidRPr="004E1381">
              <w:rPr>
                <w:rFonts w:ascii="Calibri" w:hAnsi="Calibri" w:cstheme="majorHAnsi"/>
                <w:color w:val="000000"/>
                <w:sz w:val="20"/>
                <w:szCs w:val="20"/>
              </w:rPr>
              <w:t xml:space="preserve">$100,000 </w:t>
            </w:r>
          </w:p>
        </w:tc>
        <w:tc>
          <w:tcPr>
            <w:tcW w:w="1890" w:type="dxa"/>
            <w:tcBorders>
              <w:top w:val="nil"/>
              <w:left w:val="nil"/>
              <w:bottom w:val="nil"/>
              <w:right w:val="nil"/>
            </w:tcBorders>
            <w:shd w:val="clear" w:color="auto" w:fill="auto"/>
            <w:noWrap/>
            <w:hideMark/>
          </w:tcPr>
          <w:p w14:paraId="1553FFD4" w14:textId="77777777" w:rsidR="005D7C6B" w:rsidRPr="004E1381" w:rsidRDefault="005D7C6B" w:rsidP="00033A7F">
            <w:pPr>
              <w:ind w:firstLineChars="100" w:firstLine="200"/>
              <w:jc w:val="right"/>
              <w:rPr>
                <w:rFonts w:ascii="Calibri" w:hAnsi="Calibri" w:cstheme="majorHAnsi"/>
                <w:color w:val="000000"/>
                <w:sz w:val="20"/>
                <w:szCs w:val="20"/>
              </w:rPr>
            </w:pPr>
            <w:r w:rsidRPr="004E1381">
              <w:rPr>
                <w:rFonts w:ascii="Calibri" w:hAnsi="Calibri" w:cstheme="majorHAnsi"/>
                <w:color w:val="000000"/>
                <w:sz w:val="20"/>
                <w:szCs w:val="20"/>
              </w:rPr>
              <w:t xml:space="preserve">$60,000 </w:t>
            </w:r>
          </w:p>
        </w:tc>
      </w:tr>
      <w:tr w:rsidR="005D7C6B" w:rsidRPr="001F73D0" w14:paraId="4DB30734" w14:textId="77777777" w:rsidTr="00033A7F">
        <w:trPr>
          <w:trHeight w:val="288"/>
          <w:jc w:val="center"/>
        </w:trPr>
        <w:tc>
          <w:tcPr>
            <w:tcW w:w="2700" w:type="dxa"/>
            <w:tcBorders>
              <w:top w:val="nil"/>
              <w:left w:val="nil"/>
              <w:bottom w:val="nil"/>
              <w:right w:val="nil"/>
            </w:tcBorders>
            <w:shd w:val="clear" w:color="auto" w:fill="auto"/>
            <w:noWrap/>
            <w:hideMark/>
          </w:tcPr>
          <w:p w14:paraId="1A5B5F45" w14:textId="77777777" w:rsidR="005D7C6B" w:rsidRPr="004E1381" w:rsidRDefault="005D7C6B" w:rsidP="00033A7F">
            <w:pPr>
              <w:rPr>
                <w:rFonts w:ascii="Calibri" w:hAnsi="Calibri" w:cstheme="majorHAnsi"/>
                <w:color w:val="000000"/>
                <w:sz w:val="20"/>
                <w:szCs w:val="20"/>
              </w:rPr>
            </w:pPr>
            <w:r w:rsidRPr="004E1381">
              <w:rPr>
                <w:rFonts w:ascii="Calibri" w:hAnsi="Calibri" w:cstheme="majorHAnsi"/>
                <w:color w:val="000000"/>
                <w:sz w:val="20"/>
                <w:szCs w:val="20"/>
              </w:rPr>
              <w:t>Operational Cost</w:t>
            </w:r>
          </w:p>
        </w:tc>
        <w:tc>
          <w:tcPr>
            <w:tcW w:w="1736" w:type="dxa"/>
            <w:tcBorders>
              <w:top w:val="nil"/>
              <w:left w:val="nil"/>
              <w:bottom w:val="nil"/>
              <w:right w:val="nil"/>
            </w:tcBorders>
            <w:shd w:val="clear" w:color="auto" w:fill="auto"/>
            <w:noWrap/>
            <w:hideMark/>
          </w:tcPr>
          <w:p w14:paraId="3E62AB10" w14:textId="77777777" w:rsidR="005D7C6B" w:rsidRPr="004E1381" w:rsidRDefault="005D7C6B" w:rsidP="00033A7F">
            <w:pPr>
              <w:jc w:val="right"/>
              <w:rPr>
                <w:rFonts w:ascii="Calibri" w:hAnsi="Calibri" w:cstheme="majorHAnsi"/>
                <w:color w:val="000000"/>
                <w:sz w:val="20"/>
                <w:szCs w:val="20"/>
              </w:rPr>
            </w:pPr>
            <w:r w:rsidRPr="004E1381">
              <w:rPr>
                <w:rFonts w:ascii="Calibri" w:hAnsi="Calibri" w:cstheme="majorHAnsi"/>
                <w:color w:val="000000"/>
                <w:sz w:val="20"/>
                <w:szCs w:val="20"/>
              </w:rPr>
              <w:t>$0 Dollars/Hour</w:t>
            </w:r>
          </w:p>
        </w:tc>
        <w:tc>
          <w:tcPr>
            <w:tcW w:w="1954" w:type="dxa"/>
            <w:tcBorders>
              <w:top w:val="nil"/>
              <w:left w:val="nil"/>
              <w:bottom w:val="nil"/>
              <w:right w:val="nil"/>
            </w:tcBorders>
            <w:shd w:val="clear" w:color="auto" w:fill="auto"/>
            <w:noWrap/>
            <w:hideMark/>
          </w:tcPr>
          <w:p w14:paraId="6A496C36" w14:textId="77777777" w:rsidR="005D7C6B" w:rsidRPr="004E1381" w:rsidRDefault="005D7C6B" w:rsidP="00033A7F">
            <w:pPr>
              <w:ind w:firstLineChars="100" w:firstLine="200"/>
              <w:jc w:val="right"/>
              <w:rPr>
                <w:rFonts w:ascii="Calibri" w:hAnsi="Calibri" w:cstheme="majorHAnsi"/>
                <w:color w:val="000000"/>
                <w:sz w:val="20"/>
                <w:szCs w:val="20"/>
              </w:rPr>
            </w:pPr>
            <w:r w:rsidRPr="004E1381">
              <w:rPr>
                <w:rFonts w:ascii="Calibri" w:hAnsi="Calibri" w:cstheme="majorHAnsi"/>
                <w:color w:val="000000"/>
                <w:sz w:val="20"/>
                <w:szCs w:val="20"/>
              </w:rPr>
              <w:t>$0 Dollars/Hour</w:t>
            </w:r>
          </w:p>
        </w:tc>
        <w:tc>
          <w:tcPr>
            <w:tcW w:w="1890" w:type="dxa"/>
            <w:tcBorders>
              <w:top w:val="nil"/>
              <w:left w:val="nil"/>
              <w:bottom w:val="nil"/>
              <w:right w:val="nil"/>
            </w:tcBorders>
            <w:shd w:val="clear" w:color="auto" w:fill="auto"/>
            <w:noWrap/>
            <w:hideMark/>
          </w:tcPr>
          <w:p w14:paraId="1DC946EF" w14:textId="77777777" w:rsidR="005D7C6B" w:rsidRPr="004E1381" w:rsidRDefault="005D7C6B" w:rsidP="00033A7F">
            <w:pPr>
              <w:ind w:firstLineChars="100" w:firstLine="200"/>
              <w:jc w:val="right"/>
              <w:rPr>
                <w:rFonts w:ascii="Calibri" w:hAnsi="Calibri" w:cstheme="majorHAnsi"/>
                <w:color w:val="000000"/>
                <w:sz w:val="20"/>
                <w:szCs w:val="20"/>
              </w:rPr>
            </w:pPr>
            <w:r w:rsidRPr="004E1381">
              <w:rPr>
                <w:rFonts w:ascii="Calibri" w:hAnsi="Calibri" w:cstheme="majorHAnsi"/>
                <w:color w:val="000000"/>
                <w:sz w:val="20"/>
                <w:szCs w:val="20"/>
              </w:rPr>
              <w:t>$0 Dollars/Hour</w:t>
            </w:r>
          </w:p>
        </w:tc>
      </w:tr>
      <w:tr w:rsidR="005D7C6B" w:rsidRPr="001F73D0" w14:paraId="5AC29D0E" w14:textId="77777777" w:rsidTr="00033A7F">
        <w:trPr>
          <w:trHeight w:val="288"/>
          <w:jc w:val="center"/>
        </w:trPr>
        <w:tc>
          <w:tcPr>
            <w:tcW w:w="2700" w:type="dxa"/>
            <w:tcBorders>
              <w:top w:val="nil"/>
              <w:left w:val="nil"/>
              <w:bottom w:val="nil"/>
              <w:right w:val="nil"/>
            </w:tcBorders>
            <w:shd w:val="clear" w:color="auto" w:fill="auto"/>
            <w:noWrap/>
            <w:hideMark/>
          </w:tcPr>
          <w:p w14:paraId="6828418F" w14:textId="77777777" w:rsidR="005D7C6B" w:rsidRPr="004E1381" w:rsidRDefault="005D7C6B" w:rsidP="00033A7F">
            <w:pPr>
              <w:rPr>
                <w:rFonts w:ascii="Calibri" w:hAnsi="Calibri" w:cstheme="majorHAnsi"/>
                <w:color w:val="000000"/>
                <w:sz w:val="20"/>
                <w:szCs w:val="20"/>
              </w:rPr>
            </w:pPr>
            <w:r w:rsidRPr="004E1381">
              <w:rPr>
                <w:rFonts w:ascii="Calibri" w:hAnsi="Calibri" w:cstheme="majorHAnsi"/>
                <w:color w:val="000000"/>
                <w:sz w:val="20"/>
                <w:szCs w:val="20"/>
              </w:rPr>
              <w:t>Charging Efficiencies</w:t>
            </w:r>
          </w:p>
        </w:tc>
        <w:tc>
          <w:tcPr>
            <w:tcW w:w="1736" w:type="dxa"/>
            <w:tcBorders>
              <w:top w:val="nil"/>
              <w:left w:val="nil"/>
              <w:bottom w:val="nil"/>
              <w:right w:val="nil"/>
            </w:tcBorders>
            <w:shd w:val="clear" w:color="auto" w:fill="auto"/>
            <w:noWrap/>
            <w:hideMark/>
          </w:tcPr>
          <w:p w14:paraId="6B680BD3" w14:textId="77777777" w:rsidR="005D7C6B" w:rsidRPr="004E1381" w:rsidRDefault="005D7C6B" w:rsidP="00033A7F">
            <w:pPr>
              <w:jc w:val="right"/>
              <w:rPr>
                <w:rFonts w:ascii="Calibri" w:hAnsi="Calibri" w:cstheme="majorHAnsi"/>
                <w:color w:val="000000"/>
                <w:sz w:val="20"/>
                <w:szCs w:val="20"/>
              </w:rPr>
            </w:pPr>
            <w:r w:rsidRPr="004E1381">
              <w:rPr>
                <w:rFonts w:ascii="Calibri" w:hAnsi="Calibri" w:cstheme="majorHAnsi"/>
                <w:color w:val="000000"/>
                <w:sz w:val="20"/>
                <w:szCs w:val="20"/>
              </w:rPr>
              <w:t>89.4%</w:t>
            </w:r>
          </w:p>
        </w:tc>
        <w:tc>
          <w:tcPr>
            <w:tcW w:w="1954" w:type="dxa"/>
            <w:tcBorders>
              <w:top w:val="nil"/>
              <w:left w:val="nil"/>
              <w:bottom w:val="nil"/>
              <w:right w:val="nil"/>
            </w:tcBorders>
            <w:shd w:val="clear" w:color="auto" w:fill="auto"/>
            <w:noWrap/>
            <w:hideMark/>
          </w:tcPr>
          <w:p w14:paraId="119A87AE" w14:textId="77777777" w:rsidR="005D7C6B" w:rsidRPr="004E1381" w:rsidRDefault="005D7C6B" w:rsidP="00033A7F">
            <w:pPr>
              <w:ind w:firstLineChars="100" w:firstLine="200"/>
              <w:jc w:val="right"/>
              <w:rPr>
                <w:rFonts w:ascii="Calibri" w:hAnsi="Calibri" w:cstheme="majorHAnsi"/>
                <w:color w:val="000000"/>
                <w:sz w:val="20"/>
                <w:szCs w:val="20"/>
              </w:rPr>
            </w:pPr>
            <w:r w:rsidRPr="004E1381">
              <w:rPr>
                <w:rFonts w:ascii="Calibri" w:hAnsi="Calibri" w:cstheme="majorHAnsi"/>
                <w:color w:val="000000"/>
                <w:sz w:val="20"/>
                <w:szCs w:val="20"/>
              </w:rPr>
              <w:t>100%</w:t>
            </w:r>
          </w:p>
        </w:tc>
        <w:tc>
          <w:tcPr>
            <w:tcW w:w="1890" w:type="dxa"/>
            <w:tcBorders>
              <w:top w:val="nil"/>
              <w:left w:val="nil"/>
              <w:bottom w:val="nil"/>
              <w:right w:val="nil"/>
            </w:tcBorders>
            <w:shd w:val="clear" w:color="auto" w:fill="auto"/>
            <w:noWrap/>
            <w:hideMark/>
          </w:tcPr>
          <w:p w14:paraId="7053D295" w14:textId="77777777" w:rsidR="005D7C6B" w:rsidRPr="004E1381" w:rsidRDefault="005D7C6B" w:rsidP="00033A7F">
            <w:pPr>
              <w:ind w:firstLineChars="100" w:firstLine="200"/>
              <w:jc w:val="right"/>
              <w:rPr>
                <w:rFonts w:ascii="Calibri" w:hAnsi="Calibri" w:cstheme="majorHAnsi"/>
                <w:color w:val="000000"/>
                <w:sz w:val="20"/>
                <w:szCs w:val="20"/>
              </w:rPr>
            </w:pPr>
            <w:r w:rsidRPr="004E1381">
              <w:rPr>
                <w:rFonts w:ascii="Calibri" w:hAnsi="Calibri" w:cstheme="majorHAnsi"/>
                <w:color w:val="000000"/>
                <w:sz w:val="20"/>
                <w:szCs w:val="20"/>
              </w:rPr>
              <w:t>89%</w:t>
            </w:r>
          </w:p>
        </w:tc>
      </w:tr>
      <w:tr w:rsidR="005D7C6B" w:rsidRPr="001F73D0" w14:paraId="1D9906CF" w14:textId="77777777" w:rsidTr="00033A7F">
        <w:trPr>
          <w:trHeight w:val="288"/>
          <w:jc w:val="center"/>
        </w:trPr>
        <w:tc>
          <w:tcPr>
            <w:tcW w:w="2700" w:type="dxa"/>
            <w:tcBorders>
              <w:top w:val="nil"/>
              <w:left w:val="nil"/>
              <w:bottom w:val="nil"/>
              <w:right w:val="nil"/>
            </w:tcBorders>
            <w:shd w:val="clear" w:color="auto" w:fill="auto"/>
            <w:noWrap/>
            <w:hideMark/>
          </w:tcPr>
          <w:p w14:paraId="771016E5" w14:textId="77777777" w:rsidR="005D7C6B" w:rsidRPr="004E1381" w:rsidRDefault="005D7C6B" w:rsidP="00033A7F">
            <w:pPr>
              <w:rPr>
                <w:rFonts w:ascii="Calibri" w:hAnsi="Calibri" w:cstheme="majorHAnsi"/>
                <w:color w:val="000000"/>
                <w:sz w:val="20"/>
                <w:szCs w:val="20"/>
              </w:rPr>
            </w:pPr>
            <w:r w:rsidRPr="004E1381">
              <w:rPr>
                <w:rFonts w:ascii="Calibri" w:hAnsi="Calibri" w:cstheme="majorHAnsi"/>
                <w:color w:val="000000"/>
                <w:sz w:val="20"/>
                <w:szCs w:val="20"/>
              </w:rPr>
              <w:t>Discharging Efficiencies</w:t>
            </w:r>
          </w:p>
        </w:tc>
        <w:tc>
          <w:tcPr>
            <w:tcW w:w="1736" w:type="dxa"/>
            <w:tcBorders>
              <w:top w:val="nil"/>
              <w:left w:val="nil"/>
              <w:bottom w:val="nil"/>
              <w:right w:val="nil"/>
            </w:tcBorders>
            <w:shd w:val="clear" w:color="auto" w:fill="auto"/>
            <w:noWrap/>
            <w:hideMark/>
          </w:tcPr>
          <w:p w14:paraId="3F4B5636" w14:textId="77777777" w:rsidR="005D7C6B" w:rsidRPr="004E1381" w:rsidRDefault="005D7C6B" w:rsidP="00033A7F">
            <w:pPr>
              <w:jc w:val="right"/>
              <w:rPr>
                <w:rFonts w:ascii="Calibri" w:hAnsi="Calibri" w:cstheme="majorHAnsi"/>
                <w:color w:val="000000"/>
                <w:sz w:val="20"/>
                <w:szCs w:val="20"/>
              </w:rPr>
            </w:pPr>
            <w:r w:rsidRPr="004E1381">
              <w:rPr>
                <w:rFonts w:ascii="Calibri" w:hAnsi="Calibri" w:cstheme="majorHAnsi"/>
                <w:color w:val="000000"/>
                <w:sz w:val="20"/>
                <w:szCs w:val="20"/>
              </w:rPr>
              <w:t>89.4%</w:t>
            </w:r>
          </w:p>
        </w:tc>
        <w:tc>
          <w:tcPr>
            <w:tcW w:w="1954" w:type="dxa"/>
            <w:tcBorders>
              <w:top w:val="nil"/>
              <w:left w:val="nil"/>
              <w:bottom w:val="nil"/>
              <w:right w:val="nil"/>
            </w:tcBorders>
            <w:shd w:val="clear" w:color="auto" w:fill="auto"/>
            <w:noWrap/>
            <w:hideMark/>
          </w:tcPr>
          <w:p w14:paraId="48373BBF" w14:textId="77777777" w:rsidR="005D7C6B" w:rsidRPr="004E1381" w:rsidRDefault="005D7C6B" w:rsidP="00033A7F">
            <w:pPr>
              <w:ind w:firstLineChars="100" w:firstLine="200"/>
              <w:jc w:val="right"/>
              <w:rPr>
                <w:rFonts w:ascii="Calibri" w:hAnsi="Calibri" w:cstheme="majorHAnsi"/>
                <w:color w:val="000000"/>
                <w:sz w:val="20"/>
                <w:szCs w:val="20"/>
              </w:rPr>
            </w:pPr>
            <w:r w:rsidRPr="004E1381">
              <w:rPr>
                <w:rFonts w:ascii="Calibri" w:hAnsi="Calibri" w:cstheme="majorHAnsi"/>
                <w:color w:val="000000"/>
                <w:sz w:val="20"/>
                <w:szCs w:val="20"/>
              </w:rPr>
              <w:t>100%</w:t>
            </w:r>
          </w:p>
        </w:tc>
        <w:tc>
          <w:tcPr>
            <w:tcW w:w="1890" w:type="dxa"/>
            <w:tcBorders>
              <w:top w:val="nil"/>
              <w:left w:val="nil"/>
              <w:bottom w:val="nil"/>
              <w:right w:val="nil"/>
            </w:tcBorders>
            <w:shd w:val="clear" w:color="auto" w:fill="auto"/>
            <w:noWrap/>
            <w:hideMark/>
          </w:tcPr>
          <w:p w14:paraId="09FBD7F8" w14:textId="77777777" w:rsidR="005D7C6B" w:rsidRPr="004E1381" w:rsidRDefault="005D7C6B" w:rsidP="00033A7F">
            <w:pPr>
              <w:ind w:firstLineChars="100" w:firstLine="200"/>
              <w:jc w:val="right"/>
              <w:rPr>
                <w:rFonts w:ascii="Calibri" w:hAnsi="Calibri" w:cstheme="majorHAnsi"/>
                <w:color w:val="000000"/>
                <w:sz w:val="20"/>
                <w:szCs w:val="20"/>
              </w:rPr>
            </w:pPr>
            <w:r w:rsidRPr="004E1381">
              <w:rPr>
                <w:rFonts w:ascii="Calibri" w:hAnsi="Calibri" w:cstheme="majorHAnsi"/>
                <w:color w:val="000000"/>
                <w:sz w:val="20"/>
                <w:szCs w:val="20"/>
              </w:rPr>
              <w:t>89%</w:t>
            </w:r>
          </w:p>
        </w:tc>
      </w:tr>
      <w:tr w:rsidR="005D7C6B" w:rsidRPr="001F73D0" w14:paraId="5BA6F464" w14:textId="77777777" w:rsidTr="00033A7F">
        <w:trPr>
          <w:trHeight w:val="288"/>
          <w:jc w:val="center"/>
        </w:trPr>
        <w:tc>
          <w:tcPr>
            <w:tcW w:w="2700" w:type="dxa"/>
            <w:tcBorders>
              <w:top w:val="nil"/>
              <w:left w:val="nil"/>
              <w:bottom w:val="nil"/>
              <w:right w:val="nil"/>
            </w:tcBorders>
            <w:shd w:val="clear" w:color="auto" w:fill="auto"/>
            <w:noWrap/>
            <w:hideMark/>
          </w:tcPr>
          <w:p w14:paraId="12A6F224" w14:textId="77777777" w:rsidR="005D7C6B" w:rsidRPr="004E1381" w:rsidRDefault="005D7C6B" w:rsidP="00033A7F">
            <w:pPr>
              <w:rPr>
                <w:rFonts w:ascii="Calibri" w:hAnsi="Calibri" w:cstheme="majorHAnsi"/>
                <w:color w:val="000000"/>
                <w:sz w:val="20"/>
                <w:szCs w:val="20"/>
              </w:rPr>
            </w:pPr>
            <w:r w:rsidRPr="004E1381">
              <w:rPr>
                <w:rFonts w:ascii="Calibri" w:hAnsi="Calibri" w:cstheme="majorHAnsi"/>
                <w:color w:val="000000"/>
                <w:sz w:val="20"/>
                <w:szCs w:val="20"/>
              </w:rPr>
              <w:t>Energy Capacity</w:t>
            </w:r>
          </w:p>
        </w:tc>
        <w:tc>
          <w:tcPr>
            <w:tcW w:w="1736" w:type="dxa"/>
            <w:tcBorders>
              <w:top w:val="nil"/>
              <w:left w:val="nil"/>
              <w:bottom w:val="nil"/>
              <w:right w:val="nil"/>
            </w:tcBorders>
            <w:shd w:val="clear" w:color="auto" w:fill="auto"/>
            <w:noWrap/>
            <w:hideMark/>
          </w:tcPr>
          <w:p w14:paraId="29A418BC" w14:textId="77777777" w:rsidR="005D7C6B" w:rsidRPr="004E1381" w:rsidRDefault="005D7C6B" w:rsidP="00033A7F">
            <w:pPr>
              <w:jc w:val="right"/>
              <w:rPr>
                <w:rFonts w:ascii="Calibri" w:hAnsi="Calibri" w:cstheme="majorHAnsi"/>
                <w:color w:val="000000"/>
                <w:sz w:val="20"/>
                <w:szCs w:val="20"/>
              </w:rPr>
            </w:pPr>
            <w:r w:rsidRPr="004E1381">
              <w:rPr>
                <w:rFonts w:ascii="Calibri" w:hAnsi="Calibri" w:cstheme="majorHAnsi"/>
                <w:color w:val="000000"/>
                <w:sz w:val="20"/>
                <w:szCs w:val="20"/>
              </w:rPr>
              <w:t>100 kWh</w:t>
            </w:r>
          </w:p>
        </w:tc>
        <w:tc>
          <w:tcPr>
            <w:tcW w:w="1954" w:type="dxa"/>
            <w:tcBorders>
              <w:top w:val="nil"/>
              <w:left w:val="nil"/>
              <w:bottom w:val="nil"/>
              <w:right w:val="nil"/>
            </w:tcBorders>
            <w:shd w:val="clear" w:color="auto" w:fill="auto"/>
            <w:noWrap/>
            <w:hideMark/>
          </w:tcPr>
          <w:p w14:paraId="1755ACFB" w14:textId="77777777" w:rsidR="005D7C6B" w:rsidRPr="004E1381" w:rsidRDefault="005D7C6B" w:rsidP="00033A7F">
            <w:pPr>
              <w:ind w:firstLineChars="100" w:firstLine="200"/>
              <w:jc w:val="right"/>
              <w:rPr>
                <w:rFonts w:ascii="Calibri" w:hAnsi="Calibri" w:cstheme="majorHAnsi"/>
                <w:color w:val="000000"/>
                <w:sz w:val="20"/>
                <w:szCs w:val="20"/>
              </w:rPr>
            </w:pPr>
            <w:r w:rsidRPr="004E1381">
              <w:rPr>
                <w:rFonts w:ascii="Calibri" w:hAnsi="Calibri" w:cstheme="majorHAnsi"/>
                <w:color w:val="000000"/>
                <w:sz w:val="20"/>
                <w:szCs w:val="20"/>
              </w:rPr>
              <w:t>50 kWh</w:t>
            </w:r>
          </w:p>
        </w:tc>
        <w:tc>
          <w:tcPr>
            <w:tcW w:w="1890" w:type="dxa"/>
            <w:tcBorders>
              <w:top w:val="nil"/>
              <w:left w:val="nil"/>
              <w:bottom w:val="nil"/>
              <w:right w:val="nil"/>
            </w:tcBorders>
            <w:shd w:val="clear" w:color="auto" w:fill="auto"/>
            <w:noWrap/>
            <w:hideMark/>
          </w:tcPr>
          <w:p w14:paraId="4CD9D400" w14:textId="77777777" w:rsidR="005D7C6B" w:rsidRPr="004E1381" w:rsidRDefault="005D7C6B" w:rsidP="00033A7F">
            <w:pPr>
              <w:ind w:firstLineChars="100" w:firstLine="200"/>
              <w:jc w:val="right"/>
              <w:rPr>
                <w:rFonts w:ascii="Calibri" w:hAnsi="Calibri" w:cstheme="majorHAnsi"/>
                <w:color w:val="000000"/>
                <w:sz w:val="20"/>
                <w:szCs w:val="20"/>
              </w:rPr>
            </w:pPr>
            <w:r w:rsidRPr="004E1381">
              <w:rPr>
                <w:rFonts w:ascii="Calibri" w:hAnsi="Calibri" w:cstheme="majorHAnsi"/>
                <w:color w:val="000000"/>
                <w:sz w:val="20"/>
                <w:szCs w:val="20"/>
              </w:rPr>
              <w:t>10 kWh</w:t>
            </w:r>
          </w:p>
        </w:tc>
      </w:tr>
      <w:tr w:rsidR="005D7C6B" w:rsidRPr="001F73D0" w14:paraId="411FE3E3" w14:textId="77777777" w:rsidTr="00033A7F">
        <w:trPr>
          <w:trHeight w:val="288"/>
          <w:jc w:val="center"/>
        </w:trPr>
        <w:tc>
          <w:tcPr>
            <w:tcW w:w="2700" w:type="dxa"/>
            <w:tcBorders>
              <w:top w:val="nil"/>
              <w:left w:val="nil"/>
              <w:bottom w:val="nil"/>
              <w:right w:val="nil"/>
            </w:tcBorders>
            <w:shd w:val="clear" w:color="auto" w:fill="auto"/>
            <w:noWrap/>
            <w:hideMark/>
          </w:tcPr>
          <w:p w14:paraId="2EFA8BDA" w14:textId="77777777" w:rsidR="005D7C6B" w:rsidRPr="004E1381" w:rsidRDefault="005D7C6B" w:rsidP="00033A7F">
            <w:pPr>
              <w:rPr>
                <w:rFonts w:ascii="Calibri" w:hAnsi="Calibri" w:cstheme="majorHAnsi"/>
                <w:color w:val="000000"/>
                <w:sz w:val="20"/>
                <w:szCs w:val="20"/>
              </w:rPr>
            </w:pPr>
            <w:r w:rsidRPr="004E1381">
              <w:rPr>
                <w:rFonts w:ascii="Calibri" w:hAnsi="Calibri" w:cstheme="majorHAnsi"/>
                <w:color w:val="000000"/>
                <w:sz w:val="20"/>
                <w:szCs w:val="20"/>
              </w:rPr>
              <w:t>Max Charge Rate</w:t>
            </w:r>
          </w:p>
        </w:tc>
        <w:tc>
          <w:tcPr>
            <w:tcW w:w="1736" w:type="dxa"/>
            <w:tcBorders>
              <w:top w:val="nil"/>
              <w:left w:val="nil"/>
              <w:bottom w:val="nil"/>
              <w:right w:val="nil"/>
            </w:tcBorders>
            <w:shd w:val="clear" w:color="auto" w:fill="auto"/>
            <w:noWrap/>
            <w:hideMark/>
          </w:tcPr>
          <w:p w14:paraId="5CD3F6C5" w14:textId="77777777" w:rsidR="005D7C6B" w:rsidRPr="004E1381" w:rsidRDefault="005D7C6B" w:rsidP="00033A7F">
            <w:pPr>
              <w:jc w:val="right"/>
              <w:rPr>
                <w:rFonts w:ascii="Calibri" w:hAnsi="Calibri" w:cstheme="majorHAnsi"/>
                <w:color w:val="000000"/>
                <w:sz w:val="20"/>
                <w:szCs w:val="20"/>
              </w:rPr>
            </w:pPr>
            <w:r w:rsidRPr="004E1381">
              <w:rPr>
                <w:rFonts w:ascii="Calibri" w:hAnsi="Calibri" w:cstheme="majorHAnsi"/>
                <w:color w:val="000000"/>
                <w:sz w:val="20"/>
                <w:szCs w:val="20"/>
              </w:rPr>
              <w:t>100 kW</w:t>
            </w:r>
          </w:p>
        </w:tc>
        <w:tc>
          <w:tcPr>
            <w:tcW w:w="1954" w:type="dxa"/>
            <w:tcBorders>
              <w:top w:val="nil"/>
              <w:left w:val="nil"/>
              <w:bottom w:val="nil"/>
              <w:right w:val="nil"/>
            </w:tcBorders>
            <w:shd w:val="clear" w:color="auto" w:fill="auto"/>
            <w:noWrap/>
            <w:hideMark/>
          </w:tcPr>
          <w:p w14:paraId="4AAED5D5" w14:textId="77777777" w:rsidR="005D7C6B" w:rsidRPr="004E1381" w:rsidRDefault="005D7C6B" w:rsidP="00033A7F">
            <w:pPr>
              <w:ind w:firstLineChars="100" w:firstLine="200"/>
              <w:jc w:val="right"/>
              <w:rPr>
                <w:rFonts w:ascii="Calibri" w:hAnsi="Calibri" w:cstheme="majorHAnsi"/>
                <w:color w:val="000000"/>
                <w:sz w:val="20"/>
                <w:szCs w:val="20"/>
              </w:rPr>
            </w:pPr>
            <w:r w:rsidRPr="004E1381">
              <w:rPr>
                <w:rFonts w:ascii="Calibri" w:hAnsi="Calibri" w:cstheme="majorHAnsi"/>
                <w:color w:val="000000"/>
                <w:sz w:val="20"/>
                <w:szCs w:val="20"/>
              </w:rPr>
              <w:t>50 kW</w:t>
            </w:r>
          </w:p>
        </w:tc>
        <w:tc>
          <w:tcPr>
            <w:tcW w:w="1890" w:type="dxa"/>
            <w:tcBorders>
              <w:top w:val="nil"/>
              <w:left w:val="nil"/>
              <w:bottom w:val="nil"/>
              <w:right w:val="nil"/>
            </w:tcBorders>
            <w:shd w:val="clear" w:color="auto" w:fill="auto"/>
            <w:noWrap/>
            <w:hideMark/>
          </w:tcPr>
          <w:p w14:paraId="304E264B" w14:textId="77777777" w:rsidR="005D7C6B" w:rsidRPr="004E1381" w:rsidRDefault="005D7C6B" w:rsidP="00033A7F">
            <w:pPr>
              <w:ind w:firstLineChars="100" w:firstLine="200"/>
              <w:jc w:val="right"/>
              <w:rPr>
                <w:rFonts w:ascii="Calibri" w:hAnsi="Calibri" w:cstheme="majorHAnsi"/>
                <w:color w:val="000000"/>
                <w:sz w:val="20"/>
                <w:szCs w:val="20"/>
              </w:rPr>
            </w:pPr>
            <w:r w:rsidRPr="004E1381">
              <w:rPr>
                <w:rFonts w:ascii="Calibri" w:hAnsi="Calibri" w:cstheme="majorHAnsi"/>
                <w:color w:val="000000"/>
                <w:sz w:val="20"/>
                <w:szCs w:val="20"/>
              </w:rPr>
              <w:t>10 kW</w:t>
            </w:r>
          </w:p>
        </w:tc>
      </w:tr>
      <w:tr w:rsidR="005D7C6B" w:rsidRPr="001F73D0" w14:paraId="46F84DA1" w14:textId="77777777" w:rsidTr="00033A7F">
        <w:trPr>
          <w:trHeight w:val="288"/>
          <w:jc w:val="center"/>
        </w:trPr>
        <w:tc>
          <w:tcPr>
            <w:tcW w:w="2700" w:type="dxa"/>
            <w:tcBorders>
              <w:top w:val="nil"/>
              <w:left w:val="nil"/>
              <w:bottom w:val="nil"/>
              <w:right w:val="nil"/>
            </w:tcBorders>
            <w:shd w:val="clear" w:color="auto" w:fill="auto"/>
            <w:noWrap/>
            <w:hideMark/>
          </w:tcPr>
          <w:p w14:paraId="7F7650BB" w14:textId="77777777" w:rsidR="005D7C6B" w:rsidRPr="004E1381" w:rsidRDefault="005D7C6B" w:rsidP="00033A7F">
            <w:pPr>
              <w:rPr>
                <w:rFonts w:ascii="Calibri" w:hAnsi="Calibri" w:cstheme="majorHAnsi"/>
                <w:color w:val="000000"/>
                <w:sz w:val="20"/>
                <w:szCs w:val="20"/>
              </w:rPr>
            </w:pPr>
            <w:r w:rsidRPr="004E1381">
              <w:rPr>
                <w:rFonts w:ascii="Calibri" w:hAnsi="Calibri" w:cstheme="majorHAnsi"/>
                <w:color w:val="000000"/>
                <w:sz w:val="20"/>
                <w:szCs w:val="20"/>
              </w:rPr>
              <w:t>Max Discharge Rate</w:t>
            </w:r>
          </w:p>
        </w:tc>
        <w:tc>
          <w:tcPr>
            <w:tcW w:w="1736" w:type="dxa"/>
            <w:tcBorders>
              <w:top w:val="nil"/>
              <w:left w:val="nil"/>
              <w:bottom w:val="nil"/>
              <w:right w:val="nil"/>
            </w:tcBorders>
            <w:shd w:val="clear" w:color="auto" w:fill="auto"/>
            <w:noWrap/>
            <w:hideMark/>
          </w:tcPr>
          <w:p w14:paraId="79040AE5" w14:textId="77777777" w:rsidR="005D7C6B" w:rsidRPr="004E1381" w:rsidRDefault="005D7C6B" w:rsidP="00033A7F">
            <w:pPr>
              <w:jc w:val="right"/>
              <w:rPr>
                <w:rFonts w:ascii="Calibri" w:hAnsi="Calibri" w:cstheme="majorHAnsi"/>
                <w:color w:val="000000"/>
                <w:sz w:val="20"/>
                <w:szCs w:val="20"/>
              </w:rPr>
            </w:pPr>
            <w:r w:rsidRPr="004E1381">
              <w:rPr>
                <w:rFonts w:ascii="Calibri" w:hAnsi="Calibri" w:cstheme="majorHAnsi"/>
                <w:color w:val="000000"/>
                <w:sz w:val="20"/>
                <w:szCs w:val="20"/>
              </w:rPr>
              <w:t>100 kW</w:t>
            </w:r>
          </w:p>
        </w:tc>
        <w:tc>
          <w:tcPr>
            <w:tcW w:w="1954" w:type="dxa"/>
            <w:tcBorders>
              <w:top w:val="nil"/>
              <w:left w:val="nil"/>
              <w:bottom w:val="nil"/>
              <w:right w:val="nil"/>
            </w:tcBorders>
            <w:shd w:val="clear" w:color="auto" w:fill="auto"/>
            <w:noWrap/>
            <w:hideMark/>
          </w:tcPr>
          <w:p w14:paraId="2B22E1DD" w14:textId="77777777" w:rsidR="005D7C6B" w:rsidRPr="004E1381" w:rsidRDefault="005D7C6B" w:rsidP="00033A7F">
            <w:pPr>
              <w:ind w:firstLineChars="100" w:firstLine="200"/>
              <w:jc w:val="right"/>
              <w:rPr>
                <w:rFonts w:ascii="Calibri" w:hAnsi="Calibri" w:cstheme="majorHAnsi"/>
                <w:color w:val="000000"/>
                <w:sz w:val="20"/>
                <w:szCs w:val="20"/>
              </w:rPr>
            </w:pPr>
            <w:r w:rsidRPr="004E1381">
              <w:rPr>
                <w:rFonts w:ascii="Calibri" w:hAnsi="Calibri" w:cstheme="majorHAnsi"/>
                <w:color w:val="000000"/>
                <w:sz w:val="20"/>
                <w:szCs w:val="20"/>
              </w:rPr>
              <w:t>50 kW</w:t>
            </w:r>
          </w:p>
        </w:tc>
        <w:tc>
          <w:tcPr>
            <w:tcW w:w="1890" w:type="dxa"/>
            <w:tcBorders>
              <w:top w:val="nil"/>
              <w:left w:val="nil"/>
              <w:bottom w:val="nil"/>
              <w:right w:val="nil"/>
            </w:tcBorders>
            <w:shd w:val="clear" w:color="auto" w:fill="auto"/>
            <w:noWrap/>
            <w:hideMark/>
          </w:tcPr>
          <w:p w14:paraId="743F99B3" w14:textId="77777777" w:rsidR="005D7C6B" w:rsidRPr="004E1381" w:rsidRDefault="005D7C6B" w:rsidP="00033A7F">
            <w:pPr>
              <w:ind w:firstLineChars="100" w:firstLine="200"/>
              <w:jc w:val="right"/>
              <w:rPr>
                <w:rFonts w:ascii="Calibri" w:hAnsi="Calibri" w:cstheme="majorHAnsi"/>
                <w:color w:val="000000"/>
                <w:sz w:val="20"/>
                <w:szCs w:val="20"/>
              </w:rPr>
            </w:pPr>
            <w:r w:rsidRPr="004E1381">
              <w:rPr>
                <w:rFonts w:ascii="Calibri" w:hAnsi="Calibri" w:cstheme="majorHAnsi"/>
                <w:color w:val="000000"/>
                <w:sz w:val="20"/>
                <w:szCs w:val="20"/>
              </w:rPr>
              <w:t>10 kW</w:t>
            </w:r>
          </w:p>
        </w:tc>
      </w:tr>
      <w:tr w:rsidR="005D7C6B" w:rsidRPr="001F73D0" w14:paraId="6B2DDFB5" w14:textId="77777777" w:rsidTr="00033A7F">
        <w:trPr>
          <w:trHeight w:val="288"/>
          <w:jc w:val="center"/>
        </w:trPr>
        <w:tc>
          <w:tcPr>
            <w:tcW w:w="2700" w:type="dxa"/>
            <w:tcBorders>
              <w:top w:val="nil"/>
              <w:left w:val="nil"/>
              <w:bottom w:val="nil"/>
              <w:right w:val="nil"/>
            </w:tcBorders>
            <w:shd w:val="clear" w:color="auto" w:fill="auto"/>
            <w:noWrap/>
            <w:hideMark/>
          </w:tcPr>
          <w:p w14:paraId="3EC6FF04" w14:textId="77777777" w:rsidR="005D7C6B" w:rsidRPr="004E1381" w:rsidRDefault="005D7C6B" w:rsidP="00033A7F">
            <w:pPr>
              <w:rPr>
                <w:rFonts w:ascii="Calibri" w:hAnsi="Calibri" w:cstheme="majorHAnsi"/>
                <w:color w:val="000000"/>
                <w:sz w:val="20"/>
                <w:szCs w:val="20"/>
              </w:rPr>
            </w:pPr>
            <w:r w:rsidRPr="004E1381">
              <w:rPr>
                <w:rFonts w:ascii="Calibri" w:hAnsi="Calibri" w:cstheme="majorHAnsi"/>
                <w:color w:val="000000"/>
                <w:sz w:val="20"/>
                <w:szCs w:val="20"/>
              </w:rPr>
              <w:t>Min State of Charge</w:t>
            </w:r>
          </w:p>
        </w:tc>
        <w:tc>
          <w:tcPr>
            <w:tcW w:w="1736" w:type="dxa"/>
            <w:tcBorders>
              <w:top w:val="nil"/>
              <w:left w:val="nil"/>
              <w:bottom w:val="nil"/>
              <w:right w:val="nil"/>
            </w:tcBorders>
            <w:shd w:val="clear" w:color="auto" w:fill="auto"/>
            <w:noWrap/>
            <w:hideMark/>
          </w:tcPr>
          <w:p w14:paraId="73321B03" w14:textId="77777777" w:rsidR="005D7C6B" w:rsidRPr="004E1381" w:rsidRDefault="005D7C6B" w:rsidP="00033A7F">
            <w:pPr>
              <w:jc w:val="right"/>
              <w:rPr>
                <w:rFonts w:ascii="Calibri" w:hAnsi="Calibri" w:cstheme="majorHAnsi"/>
                <w:color w:val="000000"/>
                <w:sz w:val="20"/>
                <w:szCs w:val="20"/>
              </w:rPr>
            </w:pPr>
            <w:r w:rsidRPr="004E1381">
              <w:rPr>
                <w:rFonts w:ascii="Calibri" w:hAnsi="Calibri" w:cstheme="majorHAnsi"/>
                <w:color w:val="000000"/>
                <w:sz w:val="20"/>
                <w:szCs w:val="20"/>
              </w:rPr>
              <w:t>10%</w:t>
            </w:r>
          </w:p>
        </w:tc>
        <w:tc>
          <w:tcPr>
            <w:tcW w:w="1954" w:type="dxa"/>
            <w:tcBorders>
              <w:top w:val="nil"/>
              <w:left w:val="nil"/>
              <w:bottom w:val="nil"/>
              <w:right w:val="nil"/>
            </w:tcBorders>
            <w:shd w:val="clear" w:color="auto" w:fill="auto"/>
            <w:noWrap/>
            <w:hideMark/>
          </w:tcPr>
          <w:p w14:paraId="644324C5" w14:textId="77777777" w:rsidR="005D7C6B" w:rsidRPr="004E1381" w:rsidRDefault="005D7C6B" w:rsidP="00033A7F">
            <w:pPr>
              <w:ind w:firstLineChars="100" w:firstLine="200"/>
              <w:jc w:val="right"/>
              <w:rPr>
                <w:rFonts w:ascii="Calibri" w:hAnsi="Calibri" w:cstheme="majorHAnsi"/>
                <w:color w:val="000000"/>
                <w:sz w:val="20"/>
                <w:szCs w:val="20"/>
              </w:rPr>
            </w:pPr>
            <w:r w:rsidRPr="004E1381">
              <w:rPr>
                <w:rFonts w:ascii="Calibri" w:hAnsi="Calibri" w:cstheme="majorHAnsi"/>
                <w:color w:val="000000"/>
                <w:sz w:val="20"/>
                <w:szCs w:val="20"/>
              </w:rPr>
              <w:t>10%</w:t>
            </w:r>
          </w:p>
        </w:tc>
        <w:tc>
          <w:tcPr>
            <w:tcW w:w="1890" w:type="dxa"/>
            <w:tcBorders>
              <w:top w:val="nil"/>
              <w:left w:val="nil"/>
              <w:bottom w:val="nil"/>
              <w:right w:val="nil"/>
            </w:tcBorders>
            <w:shd w:val="clear" w:color="auto" w:fill="auto"/>
            <w:noWrap/>
            <w:hideMark/>
          </w:tcPr>
          <w:p w14:paraId="7EE67BF2" w14:textId="77777777" w:rsidR="005D7C6B" w:rsidRPr="004E1381" w:rsidRDefault="005D7C6B" w:rsidP="00033A7F">
            <w:pPr>
              <w:ind w:firstLineChars="100" w:firstLine="200"/>
              <w:jc w:val="right"/>
              <w:rPr>
                <w:rFonts w:ascii="Calibri" w:hAnsi="Calibri" w:cstheme="majorHAnsi"/>
                <w:color w:val="000000"/>
                <w:sz w:val="20"/>
                <w:szCs w:val="20"/>
              </w:rPr>
            </w:pPr>
            <w:r w:rsidRPr="004E1381">
              <w:rPr>
                <w:rFonts w:ascii="Calibri" w:hAnsi="Calibri" w:cstheme="majorHAnsi"/>
                <w:color w:val="000000"/>
                <w:sz w:val="20"/>
                <w:szCs w:val="20"/>
              </w:rPr>
              <w:t>10%</w:t>
            </w:r>
          </w:p>
        </w:tc>
      </w:tr>
      <w:tr w:rsidR="005D7C6B" w:rsidRPr="001F73D0" w14:paraId="75AAAF36" w14:textId="77777777" w:rsidTr="00033A7F">
        <w:trPr>
          <w:trHeight w:val="288"/>
          <w:jc w:val="center"/>
        </w:trPr>
        <w:tc>
          <w:tcPr>
            <w:tcW w:w="2700" w:type="dxa"/>
            <w:tcBorders>
              <w:top w:val="nil"/>
              <w:left w:val="nil"/>
              <w:bottom w:val="nil"/>
              <w:right w:val="nil"/>
            </w:tcBorders>
            <w:shd w:val="clear" w:color="auto" w:fill="auto"/>
            <w:noWrap/>
            <w:hideMark/>
          </w:tcPr>
          <w:p w14:paraId="59EC1910" w14:textId="77777777" w:rsidR="005D7C6B" w:rsidRPr="004E1381" w:rsidRDefault="005D7C6B" w:rsidP="00033A7F">
            <w:pPr>
              <w:rPr>
                <w:rFonts w:ascii="Calibri" w:hAnsi="Calibri" w:cstheme="majorHAnsi"/>
                <w:color w:val="000000"/>
                <w:sz w:val="20"/>
                <w:szCs w:val="20"/>
              </w:rPr>
            </w:pPr>
            <w:r w:rsidRPr="004E1381">
              <w:rPr>
                <w:rFonts w:ascii="Calibri" w:hAnsi="Calibri" w:cstheme="majorHAnsi"/>
                <w:color w:val="000000"/>
                <w:sz w:val="20"/>
                <w:szCs w:val="20"/>
              </w:rPr>
              <w:t>Max State of Charge</w:t>
            </w:r>
          </w:p>
        </w:tc>
        <w:tc>
          <w:tcPr>
            <w:tcW w:w="1736" w:type="dxa"/>
            <w:tcBorders>
              <w:top w:val="nil"/>
              <w:left w:val="nil"/>
              <w:bottom w:val="nil"/>
              <w:right w:val="nil"/>
            </w:tcBorders>
            <w:shd w:val="clear" w:color="auto" w:fill="auto"/>
            <w:noWrap/>
            <w:hideMark/>
          </w:tcPr>
          <w:p w14:paraId="518A73D2" w14:textId="77777777" w:rsidR="005D7C6B" w:rsidRPr="004E1381" w:rsidRDefault="005D7C6B" w:rsidP="00033A7F">
            <w:pPr>
              <w:jc w:val="right"/>
              <w:rPr>
                <w:rFonts w:ascii="Calibri" w:hAnsi="Calibri" w:cstheme="majorHAnsi"/>
                <w:color w:val="000000"/>
                <w:sz w:val="20"/>
                <w:szCs w:val="20"/>
              </w:rPr>
            </w:pPr>
            <w:r w:rsidRPr="004E1381">
              <w:rPr>
                <w:rFonts w:ascii="Calibri" w:hAnsi="Calibri" w:cstheme="majorHAnsi"/>
                <w:color w:val="000000"/>
                <w:sz w:val="20"/>
                <w:szCs w:val="20"/>
              </w:rPr>
              <w:t>90%</w:t>
            </w:r>
          </w:p>
        </w:tc>
        <w:tc>
          <w:tcPr>
            <w:tcW w:w="1954" w:type="dxa"/>
            <w:tcBorders>
              <w:top w:val="nil"/>
              <w:left w:val="nil"/>
              <w:bottom w:val="nil"/>
              <w:right w:val="nil"/>
            </w:tcBorders>
            <w:shd w:val="clear" w:color="auto" w:fill="auto"/>
            <w:noWrap/>
            <w:hideMark/>
          </w:tcPr>
          <w:p w14:paraId="478A268A" w14:textId="77777777" w:rsidR="005D7C6B" w:rsidRPr="004E1381" w:rsidRDefault="005D7C6B" w:rsidP="00033A7F">
            <w:pPr>
              <w:ind w:firstLineChars="100" w:firstLine="200"/>
              <w:jc w:val="right"/>
              <w:rPr>
                <w:rFonts w:ascii="Calibri" w:hAnsi="Calibri" w:cstheme="majorHAnsi"/>
                <w:color w:val="000000"/>
                <w:sz w:val="20"/>
                <w:szCs w:val="20"/>
              </w:rPr>
            </w:pPr>
            <w:r w:rsidRPr="004E1381">
              <w:rPr>
                <w:rFonts w:ascii="Calibri" w:hAnsi="Calibri" w:cstheme="majorHAnsi"/>
                <w:color w:val="000000"/>
                <w:sz w:val="20"/>
                <w:szCs w:val="20"/>
              </w:rPr>
              <w:t>90%</w:t>
            </w:r>
          </w:p>
        </w:tc>
        <w:tc>
          <w:tcPr>
            <w:tcW w:w="1890" w:type="dxa"/>
            <w:tcBorders>
              <w:top w:val="nil"/>
              <w:left w:val="nil"/>
              <w:bottom w:val="nil"/>
              <w:right w:val="nil"/>
            </w:tcBorders>
            <w:shd w:val="clear" w:color="auto" w:fill="auto"/>
            <w:noWrap/>
            <w:hideMark/>
          </w:tcPr>
          <w:p w14:paraId="19F56183" w14:textId="77777777" w:rsidR="005D7C6B" w:rsidRPr="004E1381" w:rsidRDefault="005D7C6B" w:rsidP="00033A7F">
            <w:pPr>
              <w:ind w:firstLineChars="100" w:firstLine="200"/>
              <w:jc w:val="right"/>
              <w:rPr>
                <w:rFonts w:ascii="Calibri" w:hAnsi="Calibri" w:cstheme="majorHAnsi"/>
                <w:color w:val="000000"/>
                <w:sz w:val="20"/>
                <w:szCs w:val="20"/>
              </w:rPr>
            </w:pPr>
            <w:r w:rsidRPr="004E1381">
              <w:rPr>
                <w:rFonts w:ascii="Calibri" w:hAnsi="Calibri" w:cstheme="majorHAnsi"/>
                <w:color w:val="000000"/>
                <w:sz w:val="20"/>
                <w:szCs w:val="20"/>
              </w:rPr>
              <w:t>90%</w:t>
            </w:r>
          </w:p>
        </w:tc>
      </w:tr>
      <w:tr w:rsidR="005D7C6B" w:rsidRPr="001F73D0" w14:paraId="2EC7A58D" w14:textId="77777777" w:rsidTr="00033A7F">
        <w:trPr>
          <w:trHeight w:val="360"/>
          <w:jc w:val="center"/>
        </w:trPr>
        <w:tc>
          <w:tcPr>
            <w:tcW w:w="2700" w:type="dxa"/>
            <w:tcBorders>
              <w:top w:val="nil"/>
              <w:left w:val="nil"/>
              <w:bottom w:val="single" w:sz="8" w:space="0" w:color="auto"/>
              <w:right w:val="nil"/>
            </w:tcBorders>
            <w:shd w:val="clear" w:color="auto" w:fill="auto"/>
            <w:noWrap/>
            <w:hideMark/>
          </w:tcPr>
          <w:p w14:paraId="3010958B" w14:textId="77777777" w:rsidR="005D7C6B" w:rsidRPr="004E1381" w:rsidRDefault="005D7C6B" w:rsidP="00033A7F">
            <w:pPr>
              <w:jc w:val="center"/>
              <w:rPr>
                <w:rFonts w:ascii="Calibri" w:hAnsi="Calibri" w:cstheme="majorHAnsi"/>
                <w:color w:val="000000"/>
                <w:sz w:val="20"/>
                <w:szCs w:val="20"/>
              </w:rPr>
            </w:pPr>
            <w:r w:rsidRPr="004E1381">
              <w:rPr>
                <w:rFonts w:ascii="Calibri" w:hAnsi="Calibri" w:cstheme="majorHAnsi"/>
                <w:color w:val="000000"/>
                <w:sz w:val="20"/>
                <w:szCs w:val="20"/>
              </w:rPr>
              <w:t>Desired State of Charge</w:t>
            </w:r>
          </w:p>
        </w:tc>
        <w:tc>
          <w:tcPr>
            <w:tcW w:w="1736" w:type="dxa"/>
            <w:tcBorders>
              <w:top w:val="nil"/>
              <w:left w:val="nil"/>
              <w:bottom w:val="single" w:sz="8" w:space="0" w:color="auto"/>
              <w:right w:val="nil"/>
            </w:tcBorders>
            <w:shd w:val="clear" w:color="auto" w:fill="auto"/>
            <w:noWrap/>
            <w:hideMark/>
          </w:tcPr>
          <w:p w14:paraId="0745B0C5" w14:textId="77777777" w:rsidR="005D7C6B" w:rsidRPr="004E1381" w:rsidRDefault="005D7C6B" w:rsidP="00033A7F">
            <w:pPr>
              <w:jc w:val="right"/>
              <w:rPr>
                <w:rFonts w:ascii="Calibri" w:hAnsi="Calibri" w:cstheme="majorHAnsi"/>
                <w:color w:val="000000"/>
                <w:sz w:val="20"/>
                <w:szCs w:val="20"/>
              </w:rPr>
            </w:pPr>
            <w:r w:rsidRPr="004E1381">
              <w:rPr>
                <w:rFonts w:ascii="Calibri" w:hAnsi="Calibri" w:cstheme="majorHAnsi"/>
                <w:color w:val="000000"/>
                <w:sz w:val="20"/>
                <w:szCs w:val="20"/>
              </w:rPr>
              <w:t>0.7</w:t>
            </w:r>
          </w:p>
        </w:tc>
        <w:tc>
          <w:tcPr>
            <w:tcW w:w="1954" w:type="dxa"/>
            <w:tcBorders>
              <w:top w:val="nil"/>
              <w:left w:val="nil"/>
              <w:bottom w:val="single" w:sz="8" w:space="0" w:color="auto"/>
              <w:right w:val="nil"/>
            </w:tcBorders>
            <w:shd w:val="clear" w:color="auto" w:fill="auto"/>
            <w:noWrap/>
            <w:hideMark/>
          </w:tcPr>
          <w:p w14:paraId="179B1CAF" w14:textId="77777777" w:rsidR="005D7C6B" w:rsidRPr="004E1381" w:rsidRDefault="005D7C6B" w:rsidP="00033A7F">
            <w:pPr>
              <w:ind w:firstLineChars="100" w:firstLine="200"/>
              <w:jc w:val="right"/>
              <w:rPr>
                <w:rFonts w:ascii="Calibri" w:hAnsi="Calibri" w:cstheme="majorHAnsi"/>
                <w:color w:val="000000"/>
                <w:sz w:val="20"/>
                <w:szCs w:val="20"/>
              </w:rPr>
            </w:pPr>
            <w:r w:rsidRPr="004E1381">
              <w:rPr>
                <w:rFonts w:ascii="Calibri" w:hAnsi="Calibri" w:cstheme="majorHAnsi"/>
                <w:color w:val="000000"/>
                <w:sz w:val="20"/>
                <w:szCs w:val="20"/>
              </w:rPr>
              <w:t>0.7</w:t>
            </w:r>
          </w:p>
        </w:tc>
        <w:tc>
          <w:tcPr>
            <w:tcW w:w="1890" w:type="dxa"/>
            <w:tcBorders>
              <w:top w:val="nil"/>
              <w:left w:val="nil"/>
              <w:bottom w:val="single" w:sz="8" w:space="0" w:color="auto"/>
              <w:right w:val="nil"/>
            </w:tcBorders>
            <w:shd w:val="clear" w:color="auto" w:fill="auto"/>
            <w:noWrap/>
            <w:hideMark/>
          </w:tcPr>
          <w:p w14:paraId="34A81202" w14:textId="77777777" w:rsidR="005D7C6B" w:rsidRPr="004E1381" w:rsidRDefault="005D7C6B" w:rsidP="00033A7F">
            <w:pPr>
              <w:ind w:firstLineChars="100" w:firstLine="200"/>
              <w:jc w:val="right"/>
              <w:rPr>
                <w:rFonts w:ascii="Calibri" w:hAnsi="Calibri" w:cstheme="majorHAnsi"/>
                <w:color w:val="000000"/>
                <w:sz w:val="20"/>
                <w:szCs w:val="20"/>
              </w:rPr>
            </w:pPr>
            <w:r w:rsidRPr="004E1381">
              <w:rPr>
                <w:rFonts w:ascii="Calibri" w:hAnsi="Calibri" w:cstheme="majorHAnsi"/>
                <w:color w:val="000000"/>
                <w:sz w:val="20"/>
                <w:szCs w:val="20"/>
              </w:rPr>
              <w:t>0.7</w:t>
            </w:r>
          </w:p>
        </w:tc>
      </w:tr>
    </w:tbl>
    <w:p w14:paraId="1A9E5309" w14:textId="77777777" w:rsidR="005D7C6B" w:rsidRPr="005D7C6B" w:rsidRDefault="005D7C6B" w:rsidP="005D7C6B"/>
    <w:p w14:paraId="5EBEE6D1" w14:textId="77777777" w:rsidR="009C006E" w:rsidRDefault="005D7C6B">
      <w:pPr>
        <w:tabs>
          <w:tab w:val="clear" w:pos="360"/>
          <w:tab w:val="clear" w:pos="720"/>
          <w:tab w:val="clear" w:pos="1080"/>
        </w:tabs>
        <w:sectPr w:rsidR="009C006E" w:rsidSect="00DA79BF">
          <w:footnotePr>
            <w:numRestart w:val="eachPage"/>
          </w:footnotePr>
          <w:pgSz w:w="12240" w:h="15840" w:code="1"/>
          <w:pgMar w:top="1440" w:right="1440" w:bottom="1440" w:left="1440" w:header="720" w:footer="720" w:gutter="0"/>
          <w:pgNumType w:start="1" w:chapStyle="1" w:chapSep="period"/>
          <w:cols w:space="720"/>
        </w:sectPr>
      </w:pPr>
      <w:r>
        <w:br w:type="page"/>
      </w:r>
    </w:p>
    <w:p w14:paraId="38DA3829" w14:textId="3BD468A2" w:rsidR="005D7C6B" w:rsidRDefault="005D7C6B">
      <w:pPr>
        <w:tabs>
          <w:tab w:val="clear" w:pos="360"/>
          <w:tab w:val="clear" w:pos="720"/>
          <w:tab w:val="clear" w:pos="1080"/>
        </w:tabs>
        <w:rPr>
          <w:b/>
        </w:rPr>
      </w:pPr>
    </w:p>
    <w:p w14:paraId="692C258A" w14:textId="1E86FEB3" w:rsidR="005D7C6B" w:rsidRDefault="005D7C6B" w:rsidP="005D7C6B">
      <w:pPr>
        <w:pStyle w:val="Heading1"/>
      </w:pPr>
      <w:bookmarkStart w:id="18" w:name="_Toc496624724"/>
      <w:r w:rsidRPr="005D7C6B">
        <w:t>Alternatives Studied</w:t>
      </w:r>
      <w:bookmarkEnd w:id="18"/>
    </w:p>
    <w:p w14:paraId="41AC3F9F" w14:textId="0E37EB4D" w:rsidR="00E7509D" w:rsidRDefault="005939AC" w:rsidP="005939AC">
      <w:pPr>
        <w:keepNext/>
        <w:spacing w:before="240"/>
      </w:pPr>
      <w:r>
        <w:t>Thirty-seven options were evaluated using MDT</w:t>
      </w:r>
      <w:r w:rsidR="00260ED1">
        <w:rPr>
          <w:rStyle w:val="FootnoteReference"/>
        </w:rPr>
        <w:footnoteReference w:id="13"/>
      </w:r>
      <w:r w:rsidR="009874FD">
        <w:t xml:space="preserve"> (see technical report)</w:t>
      </w:r>
      <w:r>
        <w:t xml:space="preserve">; a base case (existing diesel-only configuration) was created in order to create a baseline against which the diesel fuel consumption in the prospective mini-grid configurations could be compared. Each alternative also included an option on whether electric thermal stoves could be used as an alternative load for otherwise unneeded renewable energy. </w:t>
      </w:r>
      <w:r w:rsidR="00E7509D">
        <w:t xml:space="preserve"> Additionally, evaluations were made with and without the assumptions of energy efficiency upgrades being made prior to the operational period of the mini-grid.  In all evaluated scenarios the energy efficiency upgrades were found to be cost effective and thus were assumed to be completed. </w:t>
      </w:r>
    </w:p>
    <w:p w14:paraId="233D6D66" w14:textId="5394771F" w:rsidR="005939AC" w:rsidRDefault="005939AC" w:rsidP="005939AC">
      <w:pPr>
        <w:keepNext/>
        <w:spacing w:before="240"/>
      </w:pPr>
      <w:r>
        <w:t>The renewable alternatives evaluated the level of wind, the kW of solar PV, and the total installed capacity of the electric thermal stoves that maximized the net present value.</w:t>
      </w:r>
      <w:r w:rsidR="00BD5CD2">
        <w:t xml:space="preserve"> </w:t>
      </w:r>
      <w:r>
        <w:t>Alternatives for wind reached as high as 16 turbines. Battery capacity was evaluated between 0/0 kW/kWh and 100/100 kW/kWh, while thermal stoves were evaluated between 0 and 80 kW</w:t>
      </w:r>
      <w:r w:rsidR="00CE5C7B">
        <w:t>,</w:t>
      </w:r>
      <w:r>
        <w:t xml:space="preserve"> or 14 electric thermal stoves.</w:t>
      </w:r>
      <w:r w:rsidRPr="0096430C">
        <w:t xml:space="preserve"> </w:t>
      </w:r>
      <w:r>
        <w:t xml:space="preserve">The </w:t>
      </w:r>
      <w:r w:rsidR="00927866">
        <w:t xml:space="preserve">number of </w:t>
      </w:r>
      <w:r>
        <w:t xml:space="preserve">electric thermal stoves </w:t>
      </w:r>
      <w:r w:rsidR="00927866">
        <w:t xml:space="preserve">that could be installed </w:t>
      </w:r>
      <w:r>
        <w:t xml:space="preserve">(assumed at 6 kW each) </w:t>
      </w:r>
      <w:r w:rsidR="00927866">
        <w:t>was</w:t>
      </w:r>
      <w:r>
        <w:t xml:space="preserve"> limited by the estimated thermal load for the village. Hydro generation was considered</w:t>
      </w:r>
      <w:r w:rsidR="00CE5C7B">
        <w:t>,</w:t>
      </w:r>
      <w:r>
        <w:t xml:space="preserve"> but wasn’t selected because it wasn’t cost effective. </w:t>
      </w:r>
    </w:p>
    <w:p w14:paraId="78131E47" w14:textId="7C3FEA8B" w:rsidR="005939AC" w:rsidRDefault="005939AC" w:rsidP="005939AC">
      <w:pPr>
        <w:keepNext/>
        <w:spacing w:before="240"/>
      </w:pPr>
      <w:r>
        <w:t>The diesel generation capacity at the village is currently 1298 kW.</w:t>
      </w:r>
      <w:r w:rsidR="00BD5CD2">
        <w:t xml:space="preserve"> </w:t>
      </w:r>
      <w:r>
        <w:t>The diesel generators use about 129 thousand gallons of fuel each year in the baseline analysis</w:t>
      </w:r>
      <w:r w:rsidR="001C126E">
        <w:t>,</w:t>
      </w:r>
      <w:r>
        <w:t xml:space="preserve"> or about 13.5 gallons per hour</w:t>
      </w:r>
      <w:r w:rsidR="009874FD">
        <w:t xml:space="preserve"> per generator</w:t>
      </w:r>
      <w:r>
        <w:t>. Each alternative generation option adds more renewable resources to the baseline, reducing the amount of diesel fuel and heating oil that are required to meet electricity and heating needs.</w:t>
      </w:r>
      <w:r w:rsidR="00BD5CD2">
        <w:t xml:space="preserve"> </w:t>
      </w:r>
    </w:p>
    <w:p w14:paraId="071783FA" w14:textId="01AABC34" w:rsidR="005D7C6B" w:rsidRDefault="005939AC" w:rsidP="005939AC">
      <w:pPr>
        <w:pStyle w:val="BodyText"/>
      </w:pPr>
      <w:r>
        <w:t>The option that provides the highest net present value to the village is a 500 kW wind facility, 100 kW solar PV with 46 kW of electric thermal stoves assuming a 4% discount rate.</w:t>
      </w:r>
      <w:r w:rsidR="00BD5CD2">
        <w:t xml:space="preserve"> </w:t>
      </w:r>
      <w:r>
        <w:t xml:space="preserve">The 500 kW of wind turbines and 100 kW of solar generate 1.3 million kWh, 0.16 million kWh of which are used by the </w:t>
      </w:r>
      <w:r w:rsidR="00927866">
        <w:t xml:space="preserve">46 kW of </w:t>
      </w:r>
      <w:r>
        <w:t>electric thermal stoves.</w:t>
      </w:r>
      <w:r w:rsidR="00BD5CD2">
        <w:t xml:space="preserve"> </w:t>
      </w:r>
      <w:r>
        <w:t xml:space="preserve">This option reduces diesel fuel consumption by more than 74% and overall fuel consumption by 69% (Table 4). The 500 kW wind facility, 100 kW solar PV, 100 kW diesel and thermal stoves was selected for displaying the sources and uses, income statement and cash flow </w:t>
      </w:r>
      <w:r w:rsidRPr="00F233CC">
        <w:rPr>
          <w:i/>
        </w:rPr>
        <w:t xml:space="preserve">pro forma </w:t>
      </w:r>
      <w:r>
        <w:t>for the Alaska Village Electric Cooperative.</w:t>
      </w:r>
      <w:r w:rsidR="00BD5CD2">
        <w:t xml:space="preserve"> </w:t>
      </w:r>
    </w:p>
    <w:p w14:paraId="17489A51" w14:textId="3845C93B" w:rsidR="005D7C6B" w:rsidRDefault="00033A7F" w:rsidP="00033A7F">
      <w:pPr>
        <w:pStyle w:val="Caption"/>
        <w:spacing w:before="240" w:after="120"/>
      </w:pPr>
      <w:bookmarkStart w:id="19" w:name="_Toc496624243"/>
      <w:r w:rsidRPr="00033A7F">
        <w:rPr>
          <w:b/>
        </w:rPr>
        <w:t xml:space="preserve">Table </w:t>
      </w:r>
      <w:r>
        <w:rPr>
          <w:b/>
        </w:rPr>
        <w:fldChar w:fldCharType="begin"/>
      </w:r>
      <w:r>
        <w:rPr>
          <w:b/>
        </w:rPr>
        <w:instrText xml:space="preserve"> STYLEREF 1 \s </w:instrText>
      </w:r>
      <w:r>
        <w:rPr>
          <w:b/>
        </w:rPr>
        <w:fldChar w:fldCharType="separate"/>
      </w:r>
      <w:r>
        <w:rPr>
          <w:b/>
          <w:noProof/>
        </w:rPr>
        <w:t>5</w:t>
      </w:r>
      <w:r>
        <w:rPr>
          <w:b/>
        </w:rPr>
        <w:fldChar w:fldCharType="end"/>
      </w:r>
      <w:r>
        <w:rPr>
          <w:b/>
        </w:rPr>
        <w:noBreakHyphen/>
      </w:r>
      <w:r>
        <w:rPr>
          <w:b/>
        </w:rPr>
        <w:fldChar w:fldCharType="begin"/>
      </w:r>
      <w:r>
        <w:rPr>
          <w:b/>
        </w:rPr>
        <w:instrText xml:space="preserve"> SEQ Table \* ARABIC \s 1 </w:instrText>
      </w:r>
      <w:r>
        <w:rPr>
          <w:b/>
        </w:rPr>
        <w:fldChar w:fldCharType="separate"/>
      </w:r>
      <w:r>
        <w:rPr>
          <w:b/>
          <w:noProof/>
        </w:rPr>
        <w:t>1</w:t>
      </w:r>
      <w:r>
        <w:rPr>
          <w:b/>
        </w:rPr>
        <w:fldChar w:fldCharType="end"/>
      </w:r>
      <w:r w:rsidR="0044790B" w:rsidRPr="00033A7F">
        <w:rPr>
          <w:b/>
        </w:rPr>
        <w:t>:</w:t>
      </w:r>
      <w:r w:rsidR="0044790B">
        <w:t xml:space="preserve"> </w:t>
      </w:r>
      <w:r w:rsidR="0044790B" w:rsidRPr="00033A7F">
        <w:t>Annual heating and diesel fuel expenditures in the Baseline and Optimal cases</w:t>
      </w:r>
      <w:r w:rsidR="005939AC">
        <w:t>*</w:t>
      </w:r>
      <w:bookmarkEnd w:id="19"/>
    </w:p>
    <w:tbl>
      <w:tblPr>
        <w:tblW w:w="4128" w:type="dxa"/>
        <w:jc w:val="center"/>
        <w:tblLook w:val="04A0" w:firstRow="1" w:lastRow="0" w:firstColumn="1" w:lastColumn="0" w:noHBand="0" w:noVBand="1"/>
      </w:tblPr>
      <w:tblGrid>
        <w:gridCol w:w="1376"/>
        <w:gridCol w:w="1376"/>
        <w:gridCol w:w="1376"/>
      </w:tblGrid>
      <w:tr w:rsidR="005939AC" w:rsidRPr="00C10D7F" w14:paraId="2C98B0A3" w14:textId="77777777" w:rsidTr="009D0470">
        <w:trPr>
          <w:trHeight w:val="300"/>
          <w:jc w:val="center"/>
        </w:trPr>
        <w:tc>
          <w:tcPr>
            <w:tcW w:w="1376" w:type="dxa"/>
            <w:tcBorders>
              <w:top w:val="single" w:sz="8" w:space="0" w:color="auto"/>
              <w:left w:val="nil"/>
              <w:bottom w:val="single" w:sz="8" w:space="0" w:color="auto"/>
              <w:right w:val="nil"/>
            </w:tcBorders>
            <w:shd w:val="clear" w:color="000000" w:fill="FFFFFF"/>
            <w:noWrap/>
            <w:hideMark/>
          </w:tcPr>
          <w:p w14:paraId="717423AB" w14:textId="77777777" w:rsidR="005939AC" w:rsidRPr="004E1381" w:rsidRDefault="005939AC" w:rsidP="005939AC">
            <w:pPr>
              <w:keepNext/>
              <w:keepLines/>
              <w:jc w:val="center"/>
              <w:rPr>
                <w:rFonts w:ascii="Calibri" w:hAnsi="Calibri"/>
                <w:b/>
                <w:bCs/>
                <w:color w:val="000000"/>
                <w:sz w:val="20"/>
                <w:szCs w:val="20"/>
              </w:rPr>
            </w:pPr>
          </w:p>
        </w:tc>
        <w:tc>
          <w:tcPr>
            <w:tcW w:w="1376" w:type="dxa"/>
            <w:tcBorders>
              <w:top w:val="single" w:sz="8" w:space="0" w:color="auto"/>
              <w:left w:val="nil"/>
              <w:bottom w:val="single" w:sz="8" w:space="0" w:color="auto"/>
              <w:right w:val="nil"/>
            </w:tcBorders>
            <w:shd w:val="clear" w:color="000000" w:fill="FFFFFF"/>
            <w:noWrap/>
            <w:hideMark/>
          </w:tcPr>
          <w:p w14:paraId="0F8947AB" w14:textId="3D113536" w:rsidR="005939AC" w:rsidRPr="004E1381" w:rsidRDefault="005939AC" w:rsidP="005939AC">
            <w:pPr>
              <w:keepNext/>
              <w:keepLines/>
              <w:jc w:val="center"/>
              <w:rPr>
                <w:rFonts w:ascii="Calibri" w:hAnsi="Calibri"/>
                <w:b/>
                <w:bCs/>
                <w:color w:val="000000"/>
                <w:sz w:val="20"/>
                <w:szCs w:val="20"/>
              </w:rPr>
            </w:pPr>
            <w:r w:rsidRPr="004E1381">
              <w:rPr>
                <w:rFonts w:ascii="Calibri" w:hAnsi="Calibri"/>
                <w:sz w:val="20"/>
                <w:szCs w:val="20"/>
              </w:rPr>
              <w:t>Baseline Case</w:t>
            </w:r>
          </w:p>
        </w:tc>
        <w:tc>
          <w:tcPr>
            <w:tcW w:w="1376" w:type="dxa"/>
            <w:tcBorders>
              <w:top w:val="single" w:sz="8" w:space="0" w:color="auto"/>
              <w:left w:val="nil"/>
              <w:bottom w:val="single" w:sz="8" w:space="0" w:color="auto"/>
              <w:right w:val="nil"/>
            </w:tcBorders>
            <w:shd w:val="clear" w:color="000000" w:fill="FFFFFF"/>
            <w:noWrap/>
            <w:hideMark/>
          </w:tcPr>
          <w:p w14:paraId="208F1801" w14:textId="3E01313D" w:rsidR="005939AC" w:rsidRPr="004E1381" w:rsidRDefault="005939AC" w:rsidP="005939AC">
            <w:pPr>
              <w:keepNext/>
              <w:keepLines/>
              <w:jc w:val="center"/>
              <w:rPr>
                <w:rFonts w:ascii="Calibri" w:hAnsi="Calibri"/>
                <w:b/>
                <w:bCs/>
                <w:color w:val="000000"/>
                <w:sz w:val="20"/>
                <w:szCs w:val="20"/>
              </w:rPr>
            </w:pPr>
            <w:r w:rsidRPr="004E1381">
              <w:rPr>
                <w:rFonts w:ascii="Calibri" w:hAnsi="Calibri"/>
                <w:sz w:val="20"/>
                <w:szCs w:val="20"/>
              </w:rPr>
              <w:t>Optimal Case</w:t>
            </w:r>
          </w:p>
        </w:tc>
      </w:tr>
      <w:tr w:rsidR="005939AC" w:rsidRPr="00C10D7F" w14:paraId="5E2AA4E2" w14:textId="77777777" w:rsidTr="009D0470">
        <w:trPr>
          <w:trHeight w:val="300"/>
          <w:jc w:val="center"/>
        </w:trPr>
        <w:tc>
          <w:tcPr>
            <w:tcW w:w="1376" w:type="dxa"/>
            <w:tcBorders>
              <w:top w:val="nil"/>
              <w:left w:val="nil"/>
              <w:bottom w:val="nil"/>
              <w:right w:val="nil"/>
            </w:tcBorders>
            <w:shd w:val="clear" w:color="000000" w:fill="FFFFFF"/>
            <w:noWrap/>
            <w:hideMark/>
          </w:tcPr>
          <w:p w14:paraId="78BD219F" w14:textId="53EBFB68" w:rsidR="005939AC" w:rsidRPr="004E1381" w:rsidRDefault="005939AC" w:rsidP="005939AC">
            <w:pPr>
              <w:keepNext/>
              <w:keepLines/>
              <w:rPr>
                <w:rFonts w:ascii="Calibri" w:hAnsi="Calibri" w:cstheme="majorHAnsi"/>
                <w:b/>
                <w:bCs/>
                <w:color w:val="000000"/>
                <w:sz w:val="20"/>
                <w:szCs w:val="20"/>
              </w:rPr>
            </w:pPr>
            <w:r w:rsidRPr="004E1381">
              <w:rPr>
                <w:rFonts w:ascii="Calibri" w:hAnsi="Calibri" w:cstheme="majorHAnsi"/>
                <w:sz w:val="20"/>
                <w:szCs w:val="20"/>
              </w:rPr>
              <w:t>Total $</w:t>
            </w:r>
          </w:p>
        </w:tc>
        <w:tc>
          <w:tcPr>
            <w:tcW w:w="1376" w:type="dxa"/>
            <w:tcBorders>
              <w:top w:val="nil"/>
              <w:left w:val="nil"/>
              <w:bottom w:val="nil"/>
              <w:right w:val="nil"/>
            </w:tcBorders>
            <w:shd w:val="clear" w:color="000000" w:fill="FFFFFF"/>
            <w:noWrap/>
            <w:hideMark/>
          </w:tcPr>
          <w:p w14:paraId="0ABFCAC0" w14:textId="0DFD31C6" w:rsidR="005939AC" w:rsidRPr="004E1381" w:rsidRDefault="005939AC" w:rsidP="005939AC">
            <w:pPr>
              <w:keepNext/>
              <w:keepLines/>
              <w:jc w:val="right"/>
              <w:rPr>
                <w:rFonts w:ascii="Calibri" w:hAnsi="Calibri" w:cstheme="majorHAnsi"/>
                <w:color w:val="000000"/>
                <w:sz w:val="20"/>
                <w:szCs w:val="20"/>
              </w:rPr>
            </w:pPr>
            <w:r w:rsidRPr="004E1381">
              <w:rPr>
                <w:rFonts w:ascii="Calibri" w:hAnsi="Calibri" w:cstheme="majorHAnsi"/>
                <w:sz w:val="20"/>
                <w:szCs w:val="20"/>
              </w:rPr>
              <w:t>$1,380,000</w:t>
            </w:r>
          </w:p>
        </w:tc>
        <w:tc>
          <w:tcPr>
            <w:tcW w:w="1376" w:type="dxa"/>
            <w:tcBorders>
              <w:top w:val="nil"/>
              <w:left w:val="nil"/>
              <w:bottom w:val="nil"/>
              <w:right w:val="nil"/>
            </w:tcBorders>
            <w:shd w:val="clear" w:color="000000" w:fill="FFFFFF"/>
            <w:noWrap/>
            <w:hideMark/>
          </w:tcPr>
          <w:p w14:paraId="7AD1D022" w14:textId="3D0632C5" w:rsidR="005939AC" w:rsidRPr="004E1381" w:rsidRDefault="005939AC" w:rsidP="005939AC">
            <w:pPr>
              <w:keepNext/>
              <w:keepLines/>
              <w:jc w:val="right"/>
              <w:rPr>
                <w:rFonts w:ascii="Calibri" w:hAnsi="Calibri" w:cstheme="majorHAnsi"/>
                <w:color w:val="000000"/>
                <w:sz w:val="20"/>
                <w:szCs w:val="20"/>
              </w:rPr>
            </w:pPr>
            <w:r w:rsidRPr="004E1381">
              <w:rPr>
                <w:rFonts w:ascii="Calibri" w:hAnsi="Calibri" w:cstheme="majorHAnsi"/>
                <w:sz w:val="20"/>
                <w:szCs w:val="20"/>
              </w:rPr>
              <w:t>$437,000</w:t>
            </w:r>
          </w:p>
        </w:tc>
      </w:tr>
      <w:tr w:rsidR="005939AC" w:rsidRPr="00C10D7F" w14:paraId="158873F5" w14:textId="77777777" w:rsidTr="009D0470">
        <w:trPr>
          <w:trHeight w:val="288"/>
          <w:jc w:val="center"/>
        </w:trPr>
        <w:tc>
          <w:tcPr>
            <w:tcW w:w="1376" w:type="dxa"/>
            <w:tcBorders>
              <w:top w:val="nil"/>
              <w:left w:val="nil"/>
              <w:bottom w:val="nil"/>
              <w:right w:val="nil"/>
            </w:tcBorders>
            <w:shd w:val="clear" w:color="000000" w:fill="FFFFFF"/>
            <w:noWrap/>
            <w:hideMark/>
          </w:tcPr>
          <w:p w14:paraId="250447BF" w14:textId="0F22C3CB" w:rsidR="005939AC" w:rsidRPr="004E1381" w:rsidRDefault="005939AC" w:rsidP="005939AC">
            <w:pPr>
              <w:keepNext/>
              <w:keepLines/>
              <w:rPr>
                <w:rFonts w:ascii="Calibri" w:hAnsi="Calibri" w:cstheme="majorHAnsi"/>
                <w:b/>
                <w:bCs/>
                <w:color w:val="000000"/>
                <w:sz w:val="20"/>
                <w:szCs w:val="20"/>
              </w:rPr>
            </w:pPr>
            <w:r w:rsidRPr="004E1381">
              <w:rPr>
                <w:rFonts w:ascii="Calibri" w:hAnsi="Calibri" w:cstheme="majorHAnsi"/>
                <w:sz w:val="20"/>
                <w:szCs w:val="20"/>
              </w:rPr>
              <w:t>Heating fuel</w:t>
            </w:r>
          </w:p>
        </w:tc>
        <w:tc>
          <w:tcPr>
            <w:tcW w:w="1376" w:type="dxa"/>
            <w:tcBorders>
              <w:top w:val="nil"/>
              <w:left w:val="nil"/>
              <w:bottom w:val="nil"/>
              <w:right w:val="nil"/>
            </w:tcBorders>
            <w:shd w:val="clear" w:color="000000" w:fill="FFFFFF"/>
            <w:noWrap/>
            <w:hideMark/>
          </w:tcPr>
          <w:p w14:paraId="30413577" w14:textId="68682837" w:rsidR="005939AC" w:rsidRPr="004E1381" w:rsidRDefault="005939AC" w:rsidP="005939AC">
            <w:pPr>
              <w:keepNext/>
              <w:keepLines/>
              <w:jc w:val="right"/>
              <w:rPr>
                <w:rFonts w:ascii="Calibri" w:hAnsi="Calibri" w:cstheme="majorHAnsi"/>
                <w:color w:val="000000"/>
                <w:sz w:val="20"/>
                <w:szCs w:val="20"/>
              </w:rPr>
            </w:pPr>
            <w:r w:rsidRPr="004E1381">
              <w:rPr>
                <w:rFonts w:ascii="Calibri" w:hAnsi="Calibri" w:cstheme="majorHAnsi"/>
                <w:sz w:val="20"/>
                <w:szCs w:val="20"/>
              </w:rPr>
              <w:t>$1,453,000</w:t>
            </w:r>
          </w:p>
        </w:tc>
        <w:tc>
          <w:tcPr>
            <w:tcW w:w="1376" w:type="dxa"/>
            <w:tcBorders>
              <w:top w:val="nil"/>
              <w:left w:val="nil"/>
              <w:bottom w:val="nil"/>
              <w:right w:val="nil"/>
            </w:tcBorders>
            <w:shd w:val="clear" w:color="000000" w:fill="FFFFFF"/>
            <w:noWrap/>
            <w:hideMark/>
          </w:tcPr>
          <w:p w14:paraId="50ACF038" w14:textId="4D550D04" w:rsidR="005939AC" w:rsidRPr="004E1381" w:rsidRDefault="005939AC" w:rsidP="005939AC">
            <w:pPr>
              <w:keepNext/>
              <w:keepLines/>
              <w:jc w:val="right"/>
              <w:rPr>
                <w:rFonts w:ascii="Calibri" w:hAnsi="Calibri" w:cstheme="majorHAnsi"/>
                <w:color w:val="000000"/>
                <w:sz w:val="20"/>
                <w:szCs w:val="20"/>
              </w:rPr>
            </w:pPr>
            <w:r w:rsidRPr="004E1381">
              <w:rPr>
                <w:rFonts w:ascii="Calibri" w:hAnsi="Calibri" w:cstheme="majorHAnsi"/>
                <w:sz w:val="20"/>
                <w:szCs w:val="20"/>
              </w:rPr>
              <w:t>$240,000</w:t>
            </w:r>
          </w:p>
        </w:tc>
      </w:tr>
      <w:tr w:rsidR="005939AC" w:rsidRPr="00C10D7F" w14:paraId="5CCBF37B" w14:textId="77777777" w:rsidTr="009D0470">
        <w:trPr>
          <w:trHeight w:val="300"/>
          <w:jc w:val="center"/>
        </w:trPr>
        <w:tc>
          <w:tcPr>
            <w:tcW w:w="1376" w:type="dxa"/>
            <w:tcBorders>
              <w:top w:val="nil"/>
              <w:left w:val="nil"/>
              <w:bottom w:val="single" w:sz="8" w:space="0" w:color="auto"/>
              <w:right w:val="nil"/>
            </w:tcBorders>
            <w:shd w:val="clear" w:color="000000" w:fill="FFFFFF"/>
            <w:noWrap/>
            <w:hideMark/>
          </w:tcPr>
          <w:p w14:paraId="2ED528CA" w14:textId="260DACA8" w:rsidR="005939AC" w:rsidRPr="004E1381" w:rsidRDefault="005939AC" w:rsidP="005939AC">
            <w:pPr>
              <w:keepNext/>
              <w:keepLines/>
              <w:rPr>
                <w:rFonts w:ascii="Calibri" w:hAnsi="Calibri" w:cstheme="majorHAnsi"/>
                <w:b/>
                <w:bCs/>
                <w:color w:val="000000"/>
                <w:sz w:val="20"/>
                <w:szCs w:val="20"/>
              </w:rPr>
            </w:pPr>
            <w:r w:rsidRPr="004E1381">
              <w:rPr>
                <w:rFonts w:ascii="Calibri" w:hAnsi="Calibri" w:cstheme="majorHAnsi"/>
                <w:sz w:val="20"/>
                <w:szCs w:val="20"/>
              </w:rPr>
              <w:t>Diesel fuel</w:t>
            </w:r>
          </w:p>
        </w:tc>
        <w:tc>
          <w:tcPr>
            <w:tcW w:w="1376" w:type="dxa"/>
            <w:tcBorders>
              <w:top w:val="nil"/>
              <w:left w:val="nil"/>
              <w:bottom w:val="single" w:sz="8" w:space="0" w:color="auto"/>
              <w:right w:val="nil"/>
            </w:tcBorders>
            <w:shd w:val="clear" w:color="000000" w:fill="FFFFFF"/>
            <w:noWrap/>
            <w:hideMark/>
          </w:tcPr>
          <w:p w14:paraId="428A9C5B" w14:textId="68C00083" w:rsidR="005939AC" w:rsidRPr="004E1381" w:rsidRDefault="005939AC" w:rsidP="005939AC">
            <w:pPr>
              <w:keepNext/>
              <w:keepLines/>
              <w:jc w:val="right"/>
              <w:rPr>
                <w:rFonts w:ascii="Calibri" w:hAnsi="Calibri" w:cstheme="majorHAnsi"/>
                <w:color w:val="000000"/>
                <w:sz w:val="20"/>
                <w:szCs w:val="20"/>
              </w:rPr>
            </w:pPr>
            <w:r w:rsidRPr="004E1381">
              <w:rPr>
                <w:rFonts w:ascii="Calibri" w:hAnsi="Calibri" w:cstheme="majorHAnsi"/>
                <w:sz w:val="20"/>
                <w:szCs w:val="20"/>
              </w:rPr>
              <w:t>$927,000</w:t>
            </w:r>
          </w:p>
        </w:tc>
        <w:tc>
          <w:tcPr>
            <w:tcW w:w="1376" w:type="dxa"/>
            <w:tcBorders>
              <w:top w:val="nil"/>
              <w:left w:val="nil"/>
              <w:bottom w:val="single" w:sz="8" w:space="0" w:color="auto"/>
              <w:right w:val="nil"/>
            </w:tcBorders>
            <w:shd w:val="clear" w:color="000000" w:fill="FFFFFF"/>
            <w:noWrap/>
            <w:hideMark/>
          </w:tcPr>
          <w:p w14:paraId="5A9D3A21" w14:textId="47D1F249" w:rsidR="005939AC" w:rsidRPr="004E1381" w:rsidRDefault="005939AC" w:rsidP="005939AC">
            <w:pPr>
              <w:keepNext/>
              <w:keepLines/>
              <w:jc w:val="right"/>
              <w:rPr>
                <w:rFonts w:ascii="Calibri" w:hAnsi="Calibri" w:cstheme="majorHAnsi"/>
                <w:color w:val="000000"/>
                <w:sz w:val="20"/>
                <w:szCs w:val="20"/>
              </w:rPr>
            </w:pPr>
            <w:r w:rsidRPr="004E1381">
              <w:rPr>
                <w:rFonts w:ascii="Calibri" w:hAnsi="Calibri" w:cstheme="majorHAnsi"/>
                <w:sz w:val="20"/>
                <w:szCs w:val="20"/>
              </w:rPr>
              <w:t>$198,000</w:t>
            </w:r>
          </w:p>
        </w:tc>
      </w:tr>
    </w:tbl>
    <w:p w14:paraId="0C386446" w14:textId="4C857E29" w:rsidR="005939AC" w:rsidRDefault="005939AC" w:rsidP="005939AC">
      <w:pPr>
        <w:tabs>
          <w:tab w:val="clear" w:pos="360"/>
          <w:tab w:val="clear" w:pos="720"/>
          <w:tab w:val="clear" w:pos="1080"/>
        </w:tabs>
        <w:ind w:left="2610"/>
      </w:pPr>
      <w:r w:rsidRPr="0022246C">
        <w:rPr>
          <w:sz w:val="20"/>
          <w:szCs w:val="20"/>
        </w:rPr>
        <w:t>*Totals may not add due to rounding.</w:t>
      </w:r>
    </w:p>
    <w:p w14:paraId="796A61CA" w14:textId="2BD7ADEF" w:rsidR="009C006E" w:rsidRDefault="005D7C6B">
      <w:pPr>
        <w:tabs>
          <w:tab w:val="clear" w:pos="360"/>
          <w:tab w:val="clear" w:pos="720"/>
          <w:tab w:val="clear" w:pos="1080"/>
        </w:tabs>
        <w:sectPr w:rsidR="009C006E" w:rsidSect="00DA79BF">
          <w:pgSz w:w="12240" w:h="15840" w:code="1"/>
          <w:pgMar w:top="1440" w:right="1440" w:bottom="1440" w:left="1440" w:header="720" w:footer="720" w:gutter="0"/>
          <w:pgNumType w:start="1" w:chapStyle="1" w:chapSep="period"/>
          <w:cols w:space="720"/>
        </w:sectPr>
      </w:pPr>
      <w:r>
        <w:br w:type="page"/>
      </w:r>
    </w:p>
    <w:p w14:paraId="5097BCFC" w14:textId="499AC62F" w:rsidR="00F07B67" w:rsidRDefault="00F07B67" w:rsidP="00DF3A56">
      <w:pPr>
        <w:pStyle w:val="Heading1"/>
      </w:pPr>
      <w:bookmarkStart w:id="20" w:name="_Toc496624725"/>
      <w:r>
        <w:lastRenderedPageBreak/>
        <w:t>Permitting</w:t>
      </w:r>
      <w:bookmarkEnd w:id="20"/>
    </w:p>
    <w:p w14:paraId="6C5437D4" w14:textId="425FFB1F" w:rsidR="005939AC" w:rsidRDefault="00284DED" w:rsidP="005939AC">
      <w:r>
        <w:t>Federal permits may be required to assure that all the federal requirements have been met, i</w:t>
      </w:r>
      <w:r w:rsidR="005939AC">
        <w:t xml:space="preserve">f federal funding is required to install the wind turbines. </w:t>
      </w:r>
      <w:r>
        <w:t>In addition, t</w:t>
      </w:r>
      <w:r w:rsidR="005939AC">
        <w:t>he project will need to determine the state and local permits required to site wind, solar at the village.</w:t>
      </w:r>
      <w:r w:rsidR="00BD5CD2">
        <w:t xml:space="preserve"> </w:t>
      </w:r>
      <w:r w:rsidR="005939AC">
        <w:t>Alaska’s Department of Environmental Conservation, Department of Natural Resources, State Historic Preservation Office, Regulatory Commission and Department of Transportation and Public Facilities need to be contacted to determine what permits are required for the sites to be used for renewable energy.</w:t>
      </w:r>
      <w:r w:rsidR="00BD5CD2">
        <w:t xml:space="preserve"> </w:t>
      </w:r>
    </w:p>
    <w:p w14:paraId="75EE9F79" w14:textId="77777777" w:rsidR="005939AC" w:rsidRDefault="005939AC" w:rsidP="005939AC"/>
    <w:p w14:paraId="5E68CEAE" w14:textId="7731B0F2" w:rsidR="005939AC" w:rsidRDefault="005939AC" w:rsidP="005939AC">
      <w:r>
        <w:t>In addition</w:t>
      </w:r>
      <w:r w:rsidR="00284DED">
        <w:t>,</w:t>
      </w:r>
      <w:r>
        <w:t xml:space="preserve"> Federal agencies such as the Bureau of Land Management, Environmental Protection Agency, Federal Aviation Administration, the US Army Corps of Engineers and the Bureau of Indian Affairs may be involved in the permitting process.</w:t>
      </w:r>
      <w:r w:rsidR="00BD5CD2">
        <w:t xml:space="preserve"> </w:t>
      </w:r>
      <w:r>
        <w:t>These agencies will help address the permits required to address land use, land access, noise, navigable air space, subsistence and cultural impacts, biological resource impacts, visual impacts, wetland disturbance, water quality and public health and safety.</w:t>
      </w:r>
      <w:r w:rsidR="00BD5CD2">
        <w:t xml:space="preserve"> </w:t>
      </w:r>
      <w:r>
        <w:t>The lists below are some of the permits that may be required but is not all inclusive.</w:t>
      </w:r>
    </w:p>
    <w:p w14:paraId="75CDCE70" w14:textId="77777777" w:rsidR="005939AC" w:rsidRDefault="005939AC" w:rsidP="005939AC"/>
    <w:p w14:paraId="737587BC" w14:textId="1462B8C9" w:rsidR="005939AC" w:rsidRDefault="005939AC" w:rsidP="005939AC">
      <w:r>
        <w:t xml:space="preserve">Federal permits are dependent on whether the project is sited on federal land or contains some kind of federal involvement, </w:t>
      </w:r>
      <w:r w:rsidR="000D648D">
        <w:t xml:space="preserve">i.e. </w:t>
      </w:r>
      <w:r>
        <w:t>a “federal nexus”.</w:t>
      </w:r>
      <w:r w:rsidR="00BD5CD2">
        <w:t xml:space="preserve"> </w:t>
      </w:r>
      <w:r>
        <w:t>The National Environmental Protection Act (NEPA) requires compliance if the project is on federal land or has federal funds involved.</w:t>
      </w:r>
      <w:r w:rsidR="00BD5CD2">
        <w:t xml:space="preserve"> </w:t>
      </w:r>
      <w:r>
        <w:t>Federal Special Use Permits and Rights of Way may be needed if the facility is on federal land or uses federal land to access the project.</w:t>
      </w:r>
      <w:r w:rsidR="00BD5CD2">
        <w:t xml:space="preserve"> </w:t>
      </w:r>
      <w:r>
        <w:t>A permit may be needed for response to the Endangered Species Act. If the project imposes a hazard to air traffic, a hazard determination will need to be undertaken. Impacts to the Clean Water Act will require permits.</w:t>
      </w:r>
    </w:p>
    <w:p w14:paraId="7EE52A9C" w14:textId="77777777" w:rsidR="005939AC" w:rsidRDefault="005939AC" w:rsidP="005939AC"/>
    <w:p w14:paraId="38A0917E" w14:textId="16B058B7" w:rsidR="005939AC" w:rsidRDefault="005939AC" w:rsidP="005939AC">
      <w:r>
        <w:t>State permits will be required if the project impacts fish-bearing waterways, impact cultural, historic or archaeological sites. State permits may also be required if the project crosses state lands.</w:t>
      </w:r>
      <w:r w:rsidR="00BD5CD2">
        <w:t xml:space="preserve"> </w:t>
      </w:r>
    </w:p>
    <w:p w14:paraId="02FA5B21" w14:textId="77777777" w:rsidR="005939AC" w:rsidRDefault="005939AC" w:rsidP="005939AC"/>
    <w:p w14:paraId="5986B7FC" w14:textId="77777777" w:rsidR="005939AC" w:rsidRDefault="005939AC" w:rsidP="005939AC">
      <w:r>
        <w:t>Local village authorities need to be consulted as well to meet local planning commissions and zoning issues. Local permits may include building codes, setbacks and zoning restrictions.</w:t>
      </w:r>
      <w:r>
        <w:rPr>
          <w:rStyle w:val="FootnoteReference"/>
        </w:rPr>
        <w:footnoteReference w:id="14"/>
      </w:r>
    </w:p>
    <w:p w14:paraId="485E2834" w14:textId="77777777" w:rsidR="00284DED" w:rsidRDefault="00284DED" w:rsidP="005939AC"/>
    <w:p w14:paraId="204D24D4" w14:textId="053A21F2" w:rsidR="005939AC" w:rsidRDefault="00AE00F1" w:rsidP="005939AC">
      <w:r>
        <w:t>Typical federal p</w:t>
      </w:r>
      <w:r w:rsidR="005939AC">
        <w:t xml:space="preserve">ermits include: </w:t>
      </w:r>
    </w:p>
    <w:p w14:paraId="4A8AA12C" w14:textId="20D70784" w:rsidR="005939AC" w:rsidRPr="004E1381" w:rsidRDefault="005939AC" w:rsidP="00902D26">
      <w:pPr>
        <w:pStyle w:val="ListParagraph"/>
        <w:numPr>
          <w:ilvl w:val="0"/>
          <w:numId w:val="9"/>
        </w:numPr>
        <w:rPr>
          <w:sz w:val="22"/>
          <w:szCs w:val="22"/>
        </w:rPr>
      </w:pPr>
      <w:r w:rsidRPr="004E1381">
        <w:rPr>
          <w:sz w:val="22"/>
          <w:szCs w:val="22"/>
          <w:u w:val="single"/>
        </w:rPr>
        <w:t xml:space="preserve">National Environmental Policy Act. </w:t>
      </w:r>
      <w:r w:rsidRPr="004E1381">
        <w:rPr>
          <w:sz w:val="22"/>
          <w:szCs w:val="22"/>
        </w:rPr>
        <w:t xml:space="preserve">The lead agency will depend on land jurisdiction and requires a review of the environmental impacts of proposed actions. The permit is needed if </w:t>
      </w:r>
      <w:r w:rsidR="00284DED">
        <w:rPr>
          <w:sz w:val="22"/>
          <w:szCs w:val="22"/>
        </w:rPr>
        <w:t>the project is on federal lands;</w:t>
      </w:r>
      <w:r w:rsidRPr="004E1381">
        <w:rPr>
          <w:sz w:val="22"/>
          <w:szCs w:val="22"/>
        </w:rPr>
        <w:t xml:space="preserve"> there is a need to access a fe</w:t>
      </w:r>
      <w:r w:rsidR="00284DED">
        <w:rPr>
          <w:sz w:val="22"/>
          <w:szCs w:val="22"/>
        </w:rPr>
        <w:t>derally owned transmission line;</w:t>
      </w:r>
      <w:r w:rsidRPr="004E1381">
        <w:rPr>
          <w:sz w:val="22"/>
          <w:szCs w:val="22"/>
        </w:rPr>
        <w:t xml:space="preserve"> or there is any funding from federal grants.</w:t>
      </w:r>
    </w:p>
    <w:p w14:paraId="4355EBC0" w14:textId="77777777" w:rsidR="005939AC" w:rsidRPr="004E1381" w:rsidRDefault="005939AC" w:rsidP="00902D26">
      <w:pPr>
        <w:pStyle w:val="ListParagraph"/>
        <w:numPr>
          <w:ilvl w:val="0"/>
          <w:numId w:val="9"/>
        </w:numPr>
        <w:rPr>
          <w:sz w:val="22"/>
          <w:szCs w:val="22"/>
        </w:rPr>
      </w:pPr>
      <w:r w:rsidRPr="004E1381">
        <w:rPr>
          <w:sz w:val="22"/>
          <w:szCs w:val="22"/>
          <w:u w:val="single"/>
        </w:rPr>
        <w:t>Federal Special Use Permits and Right of Ways.</w:t>
      </w:r>
      <w:r w:rsidRPr="004E1381">
        <w:rPr>
          <w:sz w:val="22"/>
          <w:szCs w:val="22"/>
        </w:rPr>
        <w:t xml:space="preserve"> The lead agency will vary depending the land jurisdiction. The permit is required when turbines are placed on federal land.</w:t>
      </w:r>
    </w:p>
    <w:p w14:paraId="52420BA0" w14:textId="777AB62F" w:rsidR="005939AC" w:rsidRPr="004E1381" w:rsidRDefault="005939AC" w:rsidP="00902D26">
      <w:pPr>
        <w:pStyle w:val="ListParagraph"/>
        <w:numPr>
          <w:ilvl w:val="0"/>
          <w:numId w:val="9"/>
        </w:numPr>
        <w:rPr>
          <w:sz w:val="22"/>
          <w:szCs w:val="22"/>
        </w:rPr>
      </w:pPr>
      <w:r w:rsidRPr="004E1381">
        <w:rPr>
          <w:sz w:val="22"/>
          <w:szCs w:val="22"/>
          <w:u w:val="single"/>
        </w:rPr>
        <w:t>Notice of Proposed Construction.</w:t>
      </w:r>
      <w:r w:rsidRPr="004E1381">
        <w:rPr>
          <w:sz w:val="22"/>
          <w:szCs w:val="22"/>
        </w:rPr>
        <w:t xml:space="preserve"> The Federal Aviation Administration requires permits when structures are higher than 200 feet (~60 meters).</w:t>
      </w:r>
      <w:r w:rsidR="00BD5CD2" w:rsidRPr="004E1381">
        <w:rPr>
          <w:sz w:val="22"/>
          <w:szCs w:val="22"/>
        </w:rPr>
        <w:t xml:space="preserve"> </w:t>
      </w:r>
      <w:r w:rsidRPr="004E1381">
        <w:rPr>
          <w:sz w:val="22"/>
          <w:szCs w:val="22"/>
        </w:rPr>
        <w:t>Additionally</w:t>
      </w:r>
      <w:r w:rsidR="00AE00F1">
        <w:rPr>
          <w:sz w:val="22"/>
          <w:szCs w:val="22"/>
        </w:rPr>
        <w:t>,</w:t>
      </w:r>
      <w:r w:rsidRPr="004E1381">
        <w:rPr>
          <w:sz w:val="22"/>
          <w:szCs w:val="22"/>
        </w:rPr>
        <w:t xml:space="preserve"> the permit is required when tower is within 20,000 feet of a </w:t>
      </w:r>
      <w:r w:rsidR="0017400D">
        <w:rPr>
          <w:sz w:val="22"/>
          <w:szCs w:val="22"/>
        </w:rPr>
        <w:t>public use airport with a 3,200-</w:t>
      </w:r>
      <w:r w:rsidRPr="004E1381">
        <w:rPr>
          <w:sz w:val="22"/>
          <w:szCs w:val="22"/>
        </w:rPr>
        <w:t>foot runway or is within line of sight of an air defense facility.</w:t>
      </w:r>
    </w:p>
    <w:p w14:paraId="4AC4E206" w14:textId="439B7E4C" w:rsidR="005939AC" w:rsidRPr="004E1381" w:rsidRDefault="005939AC" w:rsidP="00902D26">
      <w:pPr>
        <w:pStyle w:val="ListParagraph"/>
        <w:numPr>
          <w:ilvl w:val="0"/>
          <w:numId w:val="9"/>
        </w:numPr>
        <w:rPr>
          <w:sz w:val="22"/>
          <w:szCs w:val="22"/>
        </w:rPr>
      </w:pPr>
      <w:r w:rsidRPr="004E1381">
        <w:rPr>
          <w:sz w:val="22"/>
          <w:szCs w:val="22"/>
          <w:u w:val="single"/>
        </w:rPr>
        <w:t>Endangered Species Act.</w:t>
      </w:r>
      <w:r w:rsidR="00BD5CD2" w:rsidRPr="004E1381">
        <w:rPr>
          <w:sz w:val="22"/>
          <w:szCs w:val="22"/>
        </w:rPr>
        <w:t xml:space="preserve"> </w:t>
      </w:r>
      <w:r w:rsidRPr="004E1381">
        <w:rPr>
          <w:sz w:val="22"/>
          <w:szCs w:val="22"/>
        </w:rPr>
        <w:t>The US Fish and Wildlife service regulates activities where construction or turbine operation threatens endangered species.</w:t>
      </w:r>
    </w:p>
    <w:p w14:paraId="7E1FE568" w14:textId="16F3A835" w:rsidR="005939AC" w:rsidRPr="004E1381" w:rsidRDefault="005939AC" w:rsidP="00902D26">
      <w:pPr>
        <w:pStyle w:val="ListParagraph"/>
        <w:numPr>
          <w:ilvl w:val="0"/>
          <w:numId w:val="9"/>
        </w:numPr>
        <w:rPr>
          <w:sz w:val="22"/>
          <w:szCs w:val="22"/>
        </w:rPr>
      </w:pPr>
      <w:r w:rsidRPr="004E1381">
        <w:rPr>
          <w:sz w:val="22"/>
          <w:szCs w:val="22"/>
          <w:u w:val="single"/>
        </w:rPr>
        <w:lastRenderedPageBreak/>
        <w:t>Bald and Golden Eagle Protection Act.</w:t>
      </w:r>
      <w:r w:rsidR="00BD5CD2" w:rsidRPr="004E1381">
        <w:rPr>
          <w:sz w:val="22"/>
          <w:szCs w:val="22"/>
        </w:rPr>
        <w:t xml:space="preserve"> </w:t>
      </w:r>
      <w:r w:rsidRPr="004E1381">
        <w:rPr>
          <w:sz w:val="22"/>
          <w:szCs w:val="22"/>
        </w:rPr>
        <w:t>The US Fish and Wildlife service regulates activities where construction or turbine operation threatens bald or golden eagles.</w:t>
      </w:r>
      <w:r w:rsidR="00BD5CD2" w:rsidRPr="004E1381">
        <w:rPr>
          <w:sz w:val="22"/>
          <w:szCs w:val="22"/>
        </w:rPr>
        <w:t xml:space="preserve"> </w:t>
      </w:r>
      <w:r w:rsidRPr="004E1381">
        <w:rPr>
          <w:sz w:val="22"/>
          <w:szCs w:val="22"/>
        </w:rPr>
        <w:t>Golden eagle nests may need to be moved.</w:t>
      </w:r>
    </w:p>
    <w:p w14:paraId="28B0AFD5" w14:textId="77777777" w:rsidR="005939AC" w:rsidRPr="004E1381" w:rsidRDefault="005939AC" w:rsidP="00902D26">
      <w:pPr>
        <w:pStyle w:val="ListParagraph"/>
        <w:numPr>
          <w:ilvl w:val="0"/>
          <w:numId w:val="9"/>
        </w:numPr>
        <w:rPr>
          <w:sz w:val="22"/>
          <w:szCs w:val="22"/>
        </w:rPr>
      </w:pPr>
      <w:r w:rsidRPr="004E1381">
        <w:rPr>
          <w:sz w:val="22"/>
          <w:szCs w:val="22"/>
          <w:u w:val="single"/>
        </w:rPr>
        <w:t>Migratory Bird Treaty.</w:t>
      </w:r>
      <w:r w:rsidRPr="004E1381">
        <w:rPr>
          <w:sz w:val="22"/>
          <w:szCs w:val="22"/>
        </w:rPr>
        <w:t xml:space="preserve"> The US Fish and Wildlife service regulates activities where construction or turbine operation threatens migratory birds.</w:t>
      </w:r>
    </w:p>
    <w:p w14:paraId="1D564B55" w14:textId="416E7E15" w:rsidR="005939AC" w:rsidRPr="004E1381" w:rsidRDefault="005939AC" w:rsidP="00902D26">
      <w:pPr>
        <w:pStyle w:val="ListParagraph"/>
        <w:numPr>
          <w:ilvl w:val="0"/>
          <w:numId w:val="9"/>
        </w:numPr>
        <w:rPr>
          <w:sz w:val="22"/>
          <w:szCs w:val="22"/>
        </w:rPr>
      </w:pPr>
      <w:r w:rsidRPr="004E1381">
        <w:rPr>
          <w:sz w:val="22"/>
          <w:szCs w:val="22"/>
          <w:u w:val="single"/>
        </w:rPr>
        <w:t>National Historic Preservation Act.</w:t>
      </w:r>
      <w:r w:rsidRPr="004E1381">
        <w:rPr>
          <w:sz w:val="22"/>
          <w:szCs w:val="22"/>
        </w:rPr>
        <w:t xml:space="preserve"> National Historic Preservation Act. The Advisory Council on History Preservation and the Tribal Historic Preservation have jurisdiction to review any impacts to historic and Tribal resources.</w:t>
      </w:r>
      <w:r w:rsidR="00BD5CD2" w:rsidRPr="004E1381">
        <w:rPr>
          <w:sz w:val="22"/>
          <w:szCs w:val="22"/>
        </w:rPr>
        <w:t xml:space="preserve"> </w:t>
      </w:r>
      <w:r w:rsidRPr="004E1381">
        <w:rPr>
          <w:sz w:val="22"/>
          <w:szCs w:val="22"/>
        </w:rPr>
        <w:t>Action required if the activity impacts tribal resources or the site contains property eligible or listed on the National Register of Historic Places</w:t>
      </w:r>
    </w:p>
    <w:p w14:paraId="1294C443" w14:textId="77777777" w:rsidR="005939AC" w:rsidRDefault="005939AC" w:rsidP="00902D26">
      <w:pPr>
        <w:pStyle w:val="ListParagraph"/>
        <w:numPr>
          <w:ilvl w:val="0"/>
          <w:numId w:val="9"/>
        </w:numPr>
        <w:rPr>
          <w:sz w:val="22"/>
          <w:szCs w:val="22"/>
        </w:rPr>
      </w:pPr>
      <w:r w:rsidRPr="004E1381">
        <w:rPr>
          <w:sz w:val="22"/>
          <w:szCs w:val="22"/>
          <w:u w:val="single"/>
        </w:rPr>
        <w:t>Clean Water Act.</w:t>
      </w:r>
      <w:r w:rsidRPr="004E1381">
        <w:rPr>
          <w:sz w:val="22"/>
          <w:szCs w:val="22"/>
        </w:rPr>
        <w:t xml:space="preserve"> The Environmental Protection Agency regulates impacts on waters of the United States when there is a potential for discharge due to construction of wind facilities. The US Army Corps of Engineer may be included if construction activity includes dredging or fill material into waterways or wetlands.</w:t>
      </w:r>
    </w:p>
    <w:p w14:paraId="7AEBC16E" w14:textId="77777777" w:rsidR="00AE00F1" w:rsidRPr="004E1381" w:rsidRDefault="00AE00F1" w:rsidP="00AE00F1">
      <w:pPr>
        <w:pStyle w:val="ListParagraph"/>
        <w:rPr>
          <w:sz w:val="22"/>
          <w:szCs w:val="22"/>
        </w:rPr>
      </w:pPr>
    </w:p>
    <w:p w14:paraId="703A03A5" w14:textId="27EA171C" w:rsidR="005939AC" w:rsidRPr="004E1381" w:rsidRDefault="005939AC" w:rsidP="005939AC">
      <w:pPr>
        <w:outlineLvl w:val="0"/>
      </w:pPr>
      <w:r w:rsidRPr="004E1381">
        <w:t xml:space="preserve">Typical </w:t>
      </w:r>
      <w:r w:rsidR="00AE00F1">
        <w:t>s</w:t>
      </w:r>
      <w:r w:rsidRPr="004E1381">
        <w:t xml:space="preserve">tate </w:t>
      </w:r>
      <w:r w:rsidR="00AE00F1">
        <w:t>p</w:t>
      </w:r>
      <w:r w:rsidRPr="004E1381">
        <w:t>ermits</w:t>
      </w:r>
      <w:r w:rsidR="00AE00F1">
        <w:t xml:space="preserve"> include:</w:t>
      </w:r>
    </w:p>
    <w:p w14:paraId="7CAAD1D1" w14:textId="7C49C5F9" w:rsidR="005939AC" w:rsidRPr="004E1381" w:rsidRDefault="005939AC" w:rsidP="00902D26">
      <w:pPr>
        <w:pStyle w:val="ListParagraph"/>
        <w:numPr>
          <w:ilvl w:val="0"/>
          <w:numId w:val="9"/>
        </w:numPr>
        <w:rPr>
          <w:sz w:val="22"/>
          <w:szCs w:val="22"/>
        </w:rPr>
      </w:pPr>
      <w:r w:rsidRPr="004E1381">
        <w:rPr>
          <w:sz w:val="22"/>
          <w:szCs w:val="22"/>
          <w:u w:val="single"/>
        </w:rPr>
        <w:t>Fish and Essential Fish Habitat.</w:t>
      </w:r>
      <w:r w:rsidRPr="004E1381">
        <w:rPr>
          <w:sz w:val="22"/>
          <w:szCs w:val="22"/>
        </w:rPr>
        <w:t xml:space="preserve"> Alaska Department of Fish and Game provides for mitigation measures if a wind turbine site impacts fish habitat. The permit is required if construction requires crossing a fish-bearing water.</w:t>
      </w:r>
    </w:p>
    <w:p w14:paraId="404028F3" w14:textId="42C652D4" w:rsidR="005939AC" w:rsidRPr="004E1381" w:rsidRDefault="005939AC" w:rsidP="00902D26">
      <w:pPr>
        <w:pStyle w:val="ListParagraph"/>
        <w:numPr>
          <w:ilvl w:val="0"/>
          <w:numId w:val="9"/>
        </w:numPr>
        <w:rPr>
          <w:sz w:val="22"/>
          <w:szCs w:val="22"/>
        </w:rPr>
      </w:pPr>
      <w:r w:rsidRPr="004E1381">
        <w:rPr>
          <w:sz w:val="22"/>
          <w:szCs w:val="22"/>
          <w:u w:val="single"/>
        </w:rPr>
        <w:t>Cultural, Historic and Archeological Resource Consultation/Studies/Permits.</w:t>
      </w:r>
      <w:r w:rsidR="00BD5CD2" w:rsidRPr="004E1381">
        <w:rPr>
          <w:sz w:val="22"/>
          <w:szCs w:val="22"/>
        </w:rPr>
        <w:t xml:space="preserve"> </w:t>
      </w:r>
      <w:r w:rsidRPr="004E1381">
        <w:rPr>
          <w:sz w:val="22"/>
          <w:szCs w:val="22"/>
        </w:rPr>
        <w:t>The State Historic Preservation Office requires permits when a site is identified that could impact or alter cultural resources.</w:t>
      </w:r>
    </w:p>
    <w:p w14:paraId="786FCD03" w14:textId="207C06B5" w:rsidR="005939AC" w:rsidRPr="004E1381" w:rsidRDefault="005939AC" w:rsidP="00902D26">
      <w:pPr>
        <w:pStyle w:val="ListParagraph"/>
        <w:numPr>
          <w:ilvl w:val="0"/>
          <w:numId w:val="9"/>
        </w:numPr>
        <w:rPr>
          <w:sz w:val="22"/>
          <w:szCs w:val="22"/>
        </w:rPr>
      </w:pPr>
      <w:r w:rsidRPr="004E1381">
        <w:rPr>
          <w:sz w:val="22"/>
          <w:szCs w:val="22"/>
          <w:u w:val="single"/>
        </w:rPr>
        <w:t>Alaska Coastal Management Program.</w:t>
      </w:r>
      <w:r w:rsidR="00BD5CD2" w:rsidRPr="004E1381">
        <w:rPr>
          <w:sz w:val="22"/>
          <w:szCs w:val="22"/>
        </w:rPr>
        <w:t xml:space="preserve"> </w:t>
      </w:r>
      <w:r w:rsidRPr="004E1381">
        <w:rPr>
          <w:sz w:val="22"/>
          <w:szCs w:val="22"/>
        </w:rPr>
        <w:t>The Alaska Department of Natural Resources regulates sites that are within the Coastal Zone area which includes land up to 200 miles from the coast.</w:t>
      </w:r>
    </w:p>
    <w:p w14:paraId="7C31E2FB" w14:textId="6EFE56F9" w:rsidR="009D0470" w:rsidRPr="004E1381" w:rsidRDefault="005939AC" w:rsidP="00902D26">
      <w:pPr>
        <w:pStyle w:val="ListParagraph"/>
        <w:numPr>
          <w:ilvl w:val="0"/>
          <w:numId w:val="9"/>
        </w:numPr>
        <w:rPr>
          <w:rFonts w:ascii="Arial" w:hAnsi="Arial"/>
          <w:b/>
          <w:kern w:val="28"/>
          <w:sz w:val="22"/>
          <w:szCs w:val="22"/>
        </w:rPr>
      </w:pPr>
      <w:r w:rsidRPr="004E1381">
        <w:rPr>
          <w:sz w:val="22"/>
          <w:szCs w:val="22"/>
          <w:u w:val="single"/>
        </w:rPr>
        <w:t>Land Use, Easements and Right of Ways.</w:t>
      </w:r>
      <w:r w:rsidR="00BD5CD2" w:rsidRPr="004E1381">
        <w:rPr>
          <w:sz w:val="22"/>
          <w:szCs w:val="22"/>
        </w:rPr>
        <w:t xml:space="preserve"> </w:t>
      </w:r>
      <w:r w:rsidRPr="004E1381">
        <w:rPr>
          <w:sz w:val="22"/>
          <w:szCs w:val="22"/>
        </w:rPr>
        <w:t>The Alaska Department of Transportation regulates projects that have transmission or property on or along property managed by the department.</w:t>
      </w:r>
    </w:p>
    <w:p w14:paraId="01368343" w14:textId="062701A1" w:rsidR="009C006E" w:rsidRPr="004E1381" w:rsidRDefault="00F07B67" w:rsidP="00902D26">
      <w:pPr>
        <w:pStyle w:val="ListParagraph"/>
        <w:numPr>
          <w:ilvl w:val="0"/>
          <w:numId w:val="9"/>
        </w:numPr>
        <w:rPr>
          <w:rFonts w:ascii="Arial" w:hAnsi="Arial"/>
          <w:b/>
          <w:kern w:val="28"/>
          <w:sz w:val="22"/>
          <w:szCs w:val="22"/>
        </w:rPr>
      </w:pPr>
      <w:r w:rsidRPr="004E1381">
        <w:rPr>
          <w:sz w:val="22"/>
          <w:szCs w:val="22"/>
          <w:u w:val="single"/>
        </w:rPr>
        <w:t>Hazardous Materials Permit.</w:t>
      </w:r>
      <w:r w:rsidR="00BD5CD2" w:rsidRPr="004E1381">
        <w:rPr>
          <w:sz w:val="22"/>
          <w:szCs w:val="22"/>
        </w:rPr>
        <w:t xml:space="preserve"> </w:t>
      </w:r>
      <w:r w:rsidRPr="004E1381">
        <w:rPr>
          <w:sz w:val="22"/>
          <w:szCs w:val="22"/>
        </w:rPr>
        <w:t>Department of Transportation requires permits for hauling batteries due to their hazardous waste content.</w:t>
      </w:r>
    </w:p>
    <w:p w14:paraId="29900AB2" w14:textId="77777777" w:rsidR="009C006E" w:rsidRDefault="009C006E" w:rsidP="00902D26">
      <w:pPr>
        <w:pStyle w:val="ListParagraph"/>
        <w:numPr>
          <w:ilvl w:val="0"/>
          <w:numId w:val="9"/>
        </w:numPr>
        <w:rPr>
          <w:rFonts w:ascii="Arial" w:hAnsi="Arial"/>
          <w:b/>
          <w:kern w:val="28"/>
          <w:sz w:val="32"/>
        </w:rPr>
        <w:sectPr w:rsidR="009C006E" w:rsidSect="00DA79BF">
          <w:pgSz w:w="12240" w:h="15840" w:code="1"/>
          <w:pgMar w:top="1440" w:right="1440" w:bottom="1440" w:left="1440" w:header="720" w:footer="720" w:gutter="0"/>
          <w:pgNumType w:start="1" w:chapStyle="1" w:chapSep="period"/>
          <w:cols w:space="720"/>
        </w:sectPr>
      </w:pPr>
    </w:p>
    <w:p w14:paraId="1FC4526C" w14:textId="77777777" w:rsidR="00DF3A56" w:rsidRDefault="00F07B67" w:rsidP="00DF3A56">
      <w:pPr>
        <w:pStyle w:val="Heading1"/>
      </w:pPr>
      <w:bookmarkStart w:id="21" w:name="_Toc496624726"/>
      <w:r>
        <w:lastRenderedPageBreak/>
        <w:t>Risks</w:t>
      </w:r>
      <w:bookmarkEnd w:id="21"/>
    </w:p>
    <w:p w14:paraId="604A54F8" w14:textId="32F8AFCA" w:rsidR="00F07B67" w:rsidRDefault="005939AC" w:rsidP="00F07B67">
      <w:pPr>
        <w:pStyle w:val="BodyText"/>
      </w:pPr>
      <w:r>
        <w:t>There are a number of risks faced by the Shungnak utility, AVEC.</w:t>
      </w:r>
      <w:r w:rsidR="00BD5CD2">
        <w:t xml:space="preserve"> </w:t>
      </w:r>
      <w:r>
        <w:t xml:space="preserve">The risks include repayment, fuel price, human capital and operational, costs, regulatory, technical, contracting, interest rates and Federal incentives. Each of these risks may have more than one root cause. </w:t>
      </w:r>
      <w:r w:rsidR="00F07B67">
        <w:t>In addition</w:t>
      </w:r>
      <w:r w:rsidR="00D61AD9">
        <w:t>, other considerations such as</w:t>
      </w:r>
      <w:r w:rsidR="00F07B67">
        <w:t xml:space="preserve"> </w:t>
      </w:r>
      <w:r w:rsidR="00D61AD9">
        <w:t xml:space="preserve">sinking funds, project size and collateral issues </w:t>
      </w:r>
      <w:r w:rsidR="004C1C89">
        <w:t>should be considered</w:t>
      </w:r>
      <w:r w:rsidR="00D61AD9">
        <w:t>.</w:t>
      </w:r>
      <w:r w:rsidR="00BD5CD2">
        <w:t xml:space="preserve"> </w:t>
      </w:r>
      <w:r w:rsidR="00F65A9F">
        <w:t>The risks stated here need to be evaluated and included in the analysis when a complete risk analysis of the project is undertaken.</w:t>
      </w:r>
    </w:p>
    <w:p w14:paraId="68830B9C" w14:textId="421FAE67" w:rsidR="00F07B67" w:rsidRDefault="00F07B67" w:rsidP="00F07B67">
      <w:pPr>
        <w:pStyle w:val="Heading2"/>
      </w:pPr>
      <w:bookmarkStart w:id="22" w:name="_Toc496624727"/>
      <w:r>
        <w:t>Financial risks</w:t>
      </w:r>
      <w:bookmarkEnd w:id="22"/>
    </w:p>
    <w:p w14:paraId="4B1D1303" w14:textId="33813875" w:rsidR="005939AC" w:rsidRDefault="005939AC" w:rsidP="005939AC">
      <w:pPr>
        <w:spacing w:before="240"/>
      </w:pPr>
      <w:r w:rsidRPr="004121D8">
        <w:rPr>
          <w:u w:val="single"/>
        </w:rPr>
        <w:t>Repayment risk.</w:t>
      </w:r>
      <w:r>
        <w:t xml:space="preserve"> The primary risk associated with adding renewable energy to the Shungnak mini-grid is repayment risk.</w:t>
      </w:r>
      <w:r w:rsidR="00BD5CD2">
        <w:t xml:space="preserve"> </w:t>
      </w:r>
      <w:r>
        <w:t>The leading cause of the repayment failure is lower than expected renewable generation.</w:t>
      </w:r>
      <w:r w:rsidR="00BD5CD2">
        <w:t xml:space="preserve"> </w:t>
      </w:r>
      <w:r>
        <w:t>Wind generation may not follow historical patterns and less electricity could be generated.</w:t>
      </w:r>
      <w:r w:rsidR="00BD5CD2">
        <w:t xml:space="preserve"> </w:t>
      </w:r>
      <w:r>
        <w:t>In addition, the harsher climate in Alaska may cause more downtime than occurs in milder climates. Both of these</w:t>
      </w:r>
      <w:r w:rsidR="00AE00F1">
        <w:t xml:space="preserve"> issues</w:t>
      </w:r>
      <w:r>
        <w:t xml:space="preserve"> lead to more diesel-based energy generation and higher electricity costs. As a result, consumers may face increased electricity rates over those anticipated. The higher rates, in turn, may lead to more payment delinquency. Increasing costs could exacerbate the repayment risk. Due to the potential for higher than expected energy bills, financiers may evaluate this risk and ask for a working capital fund to make payments in case of a revenue shortfall. Even though working capital earns interest, it still increases the cost of the project as it is either funded from equity (which is higher cost) or from the operating loan, both of which have higher costs than the potential interest earned.</w:t>
      </w:r>
    </w:p>
    <w:p w14:paraId="096F5D60" w14:textId="11B22FF0" w:rsidR="005939AC" w:rsidRDefault="005939AC" w:rsidP="005939AC">
      <w:pPr>
        <w:spacing w:before="240"/>
      </w:pPr>
      <w:r w:rsidRPr="00AB7A73">
        <w:rPr>
          <w:u w:val="single"/>
        </w:rPr>
        <w:t>Fuel prices</w:t>
      </w:r>
      <w:r>
        <w:t>.</w:t>
      </w:r>
      <w:r w:rsidR="00BD5CD2">
        <w:t xml:space="preserve"> </w:t>
      </w:r>
      <w:r>
        <w:t>If fuel prices are lower than expected, less savings would occur and the energy from the installed renewable generation could be more costly than diesel fuel-driven electricity from a full-cost perspective.</w:t>
      </w:r>
      <w:r w:rsidR="00BD5CD2">
        <w:t xml:space="preserve"> </w:t>
      </w:r>
      <w:r>
        <w:t>However, if the project is already in place, lower than expected fuel prices would decrease the cost of electricity, because once the equipment is installed most of the costs are fixed and only a relatively small</w:t>
      </w:r>
      <w:r w:rsidR="00AE00F1">
        <w:t xml:space="preserve"> renewable</w:t>
      </w:r>
      <w:r>
        <w:t xml:space="preserve"> O&amp;M cost is required.</w:t>
      </w:r>
      <w:r w:rsidR="00D26F43" w:rsidRPr="00D26F43">
        <w:t xml:space="preserve"> </w:t>
      </w:r>
      <w:r w:rsidR="00D26F43">
        <w:t xml:space="preserve">Higher future oil prices would provide even more savings and make the ESCO option profitable.  </w:t>
      </w:r>
      <w:r>
        <w:t xml:space="preserve"> Renewable energy will likely still be less expensive from a variable cost perspective. </w:t>
      </w:r>
    </w:p>
    <w:p w14:paraId="7A20AA74" w14:textId="1B5F723B" w:rsidR="005939AC" w:rsidRDefault="005939AC" w:rsidP="005939AC">
      <w:pPr>
        <w:spacing w:before="240"/>
      </w:pPr>
      <w:r w:rsidRPr="007B3A82">
        <w:rPr>
          <w:u w:val="single"/>
        </w:rPr>
        <w:t>Human capital risk.</w:t>
      </w:r>
      <w:r w:rsidR="00BD5CD2">
        <w:t xml:space="preserve"> </w:t>
      </w:r>
      <w:r>
        <w:t xml:space="preserve">Human capital risk is higher in remote villages where the access to labor with the correct skills to operate and maintain a mini-grid </w:t>
      </w:r>
      <w:r w:rsidR="00D26F43">
        <w:t>may be more limited</w:t>
      </w:r>
      <w:r>
        <w:t xml:space="preserve"> than in larger urban areas.</w:t>
      </w:r>
      <w:r w:rsidR="00BD5CD2">
        <w:t xml:space="preserve"> </w:t>
      </w:r>
      <w:r>
        <w:t>The opportunity cost to individuals with the skills required to manage, operate and maintain a mini-grid may be higher than remote villages can afford.</w:t>
      </w:r>
      <w:r w:rsidR="00BD5CD2">
        <w:t xml:space="preserve"> </w:t>
      </w:r>
      <w:r>
        <w:t>The individuals need product knowledge of the mini-grid equipment as well as an understanding of the proposed renewable energy systems.</w:t>
      </w:r>
      <w:r w:rsidR="00BD5CD2">
        <w:t xml:space="preserve"> </w:t>
      </w:r>
      <w:r>
        <w:t>They will need knowledge and understanding of the electrical systems including batteries</w:t>
      </w:r>
      <w:r w:rsidR="00D26F43">
        <w:t xml:space="preserve"> and the capability to manage</w:t>
      </w:r>
      <w:r>
        <w:t xml:space="preserve"> a more complex distribution system and managing administrative and business management issues. The village may need to use a cooperative or ESCO approach if they don’t believe they have the expertise to operate the wind facility. An ESCO may be an alternative</w:t>
      </w:r>
      <w:r w:rsidR="00113E76">
        <w:t>,</w:t>
      </w:r>
      <w:r>
        <w:t xml:space="preserve"> as well</w:t>
      </w:r>
      <w:r w:rsidR="00113E76">
        <w:t>,</w:t>
      </w:r>
      <w:r>
        <w:t xml:space="preserve"> if a cooperative won’t undertake the project. However, the ESCO costs are estimated to be greater than the fuel costs of the current facility which would mean that electricity costs could rise to ensure that the ESCO’s required rate of return or hurdle rate is met.</w:t>
      </w:r>
    </w:p>
    <w:p w14:paraId="4DDA2118" w14:textId="5B04899B" w:rsidR="005939AC" w:rsidRDefault="005939AC" w:rsidP="005939AC">
      <w:pPr>
        <w:spacing w:before="240"/>
      </w:pPr>
      <w:r w:rsidRPr="00AA5BBA">
        <w:rPr>
          <w:u w:val="single"/>
        </w:rPr>
        <w:t>Cost Risk.</w:t>
      </w:r>
      <w:r>
        <w:t xml:space="preserve"> Cost risks have the potential to reduce operating income.</w:t>
      </w:r>
      <w:r w:rsidR="00BD5CD2">
        <w:t xml:space="preserve"> </w:t>
      </w:r>
      <w:r>
        <w:t>Unexpected increases in the costs of labor, materials and supplies in conjunction with projects that have a limited ability to raise prices and thus revenue, can adversely affect operating income.</w:t>
      </w:r>
      <w:r w:rsidR="00BD5CD2">
        <w:t xml:space="preserve"> </w:t>
      </w:r>
      <w:r>
        <w:t>For an ESCO, changing tax rates can also provide a source of cost risk to the project, although it is only lowering the after-tax return rate. The project should remain financially feasible.</w:t>
      </w:r>
      <w:r w:rsidR="00BD5CD2">
        <w:t xml:space="preserve"> </w:t>
      </w:r>
    </w:p>
    <w:p w14:paraId="44348776" w14:textId="77777777" w:rsidR="005939AC" w:rsidRDefault="005939AC" w:rsidP="005939AC">
      <w:pPr>
        <w:spacing w:before="240"/>
      </w:pPr>
    </w:p>
    <w:p w14:paraId="2E3D895E" w14:textId="318CE526" w:rsidR="005939AC" w:rsidRDefault="005939AC" w:rsidP="005939AC">
      <w:pPr>
        <w:spacing w:before="240"/>
      </w:pPr>
      <w:r w:rsidRPr="00AA5BBA">
        <w:rPr>
          <w:u w:val="single"/>
        </w:rPr>
        <w:t>Regulatory risk.</w:t>
      </w:r>
      <w:r>
        <w:t xml:space="preserve"> Financiers will want to see regulatory risk well-defined and the process well-established for obtaining all permits required to begin construction.</w:t>
      </w:r>
      <w:r w:rsidR="00BD5CD2">
        <w:t xml:space="preserve"> </w:t>
      </w:r>
      <w:r>
        <w:t>Without a well-established permitting process and with the time to completion of permitting unknown, financing will need to be from alternative sources such as grants and/or village equity.</w:t>
      </w:r>
      <w:r w:rsidR="00BD5CD2">
        <w:t xml:space="preserve"> </w:t>
      </w:r>
      <w:r>
        <w:t>They will also evaluate the impact of potential changes in regulations and whether they could adversely impact permitting time and designs and in turn the construction costs.</w:t>
      </w:r>
      <w:r w:rsidR="00BD5CD2">
        <w:t xml:space="preserve"> </w:t>
      </w:r>
      <w:r>
        <w:t>Thus</w:t>
      </w:r>
      <w:r w:rsidR="00113E76">
        <w:t>,</w:t>
      </w:r>
      <w:r>
        <w:t xml:space="preserve"> having the project well defined and the permitting, design and construction period confined to a defined period will reduce regulatory risk.</w:t>
      </w:r>
      <w:r w:rsidR="00BD5CD2">
        <w:t xml:space="preserve"> </w:t>
      </w:r>
      <w:r>
        <w:t>Drawn out processes increase the potential for regulatory change</w:t>
      </w:r>
      <w:r w:rsidR="00D26F43">
        <w:t>, which increases costs</w:t>
      </w:r>
      <w:r>
        <w:t xml:space="preserve">. </w:t>
      </w:r>
    </w:p>
    <w:p w14:paraId="65501213" w14:textId="0E2919C6" w:rsidR="005939AC" w:rsidRDefault="005939AC" w:rsidP="005939AC">
      <w:pPr>
        <w:spacing w:before="240"/>
      </w:pPr>
      <w:r w:rsidRPr="00AA5BBA">
        <w:rPr>
          <w:u w:val="single"/>
        </w:rPr>
        <w:t>Technical risk.</w:t>
      </w:r>
      <w:r>
        <w:t xml:space="preserve"> Financiers are also going to look at technical risk as it impacts the revenues and costs. Construction schedule slippage increases the costs of construction through both direct, overhead and interest costs.</w:t>
      </w:r>
      <w:r w:rsidR="00BD5CD2">
        <w:t xml:space="preserve"> </w:t>
      </w:r>
      <w:r>
        <w:t>Added costs lead to a higher total loan costs during operations.</w:t>
      </w:r>
      <w:r w:rsidR="00BD5CD2">
        <w:t xml:space="preserve"> </w:t>
      </w:r>
      <w:r>
        <w:t>In addition, poor quality construction cost estimates may lead to much higher construction costs. Financiers also review the maturity of the technology being implemented to assure that equipment operates as designed. Failures that reduce capacity factors impact revenue.</w:t>
      </w:r>
      <w:r w:rsidR="00BD5CD2">
        <w:t xml:space="preserve"> </w:t>
      </w:r>
      <w:r>
        <w:t>In the case of the systems designed for the Shungnak utility, the systems are assumed to be mature even though the system analyzed has only been demonstrated. The risk is whether the technology will operate as expected in Alaska winters.</w:t>
      </w:r>
      <w:r w:rsidR="00BD5CD2">
        <w:t xml:space="preserve"> </w:t>
      </w:r>
      <w:r>
        <w:t>Financiers will also evaluate whether any fixes they believe are necessary to make the system work as expected in Alaska’s harsh winters may make the project financially infeasible.</w:t>
      </w:r>
      <w:r w:rsidR="00BD5CD2">
        <w:t xml:space="preserve"> </w:t>
      </w:r>
      <w:r>
        <w:t>They will also investigate whether the operating parameters associated with O&amp;M are well understood and the range of potential costs do not impact project debt coverage ratios.</w:t>
      </w:r>
    </w:p>
    <w:p w14:paraId="5D739F8B" w14:textId="7B01FD9C" w:rsidR="005939AC" w:rsidRDefault="005939AC" w:rsidP="005939AC">
      <w:pPr>
        <w:spacing w:before="240"/>
      </w:pPr>
      <w:r w:rsidRPr="004121D8">
        <w:rPr>
          <w:u w:val="single"/>
        </w:rPr>
        <w:t>Engineering, Procurement and Construction (EPC) risk.</w:t>
      </w:r>
      <w:r>
        <w:t xml:space="preserve"> Financiers will also look at the EPC contracts to make sure that contracting risk is acceptable.</w:t>
      </w:r>
      <w:r w:rsidR="00BD5CD2">
        <w:t xml:space="preserve"> </w:t>
      </w:r>
      <w:r>
        <w:t>They will look to see whether the dispute resolution process is defined and provides for cost-effective changes. The financiers will also evaluate default consequences for both the cooperative and the contractor and assure themselves the financial institution is not at risk.</w:t>
      </w:r>
      <w:r w:rsidR="00BD5CD2">
        <w:t xml:space="preserve"> </w:t>
      </w:r>
      <w:r>
        <w:t>They will also assure themselves that if the project terminates that their losses are acceptable and minimized.</w:t>
      </w:r>
    </w:p>
    <w:p w14:paraId="57B2EF9B" w14:textId="08D09C5B" w:rsidR="005939AC" w:rsidRDefault="005939AC" w:rsidP="005939AC">
      <w:pPr>
        <w:spacing w:before="240"/>
      </w:pPr>
      <w:r w:rsidRPr="004F0CFB">
        <w:rPr>
          <w:u w:val="single"/>
        </w:rPr>
        <w:t xml:space="preserve">Interest rate risk. </w:t>
      </w:r>
      <w:r>
        <w:t>The project could face interest rate risk in the short and long term</w:t>
      </w:r>
      <w:r w:rsidRPr="00534052">
        <w:t xml:space="preserve"> </w:t>
      </w:r>
      <w:r>
        <w:t>should the project be attractive to financiers.</w:t>
      </w:r>
      <w:r w:rsidR="00BD5CD2">
        <w:t xml:space="preserve"> </w:t>
      </w:r>
      <w:r>
        <w:t>Construction interest rates may change during the design and permitting period.</w:t>
      </w:r>
      <w:r w:rsidR="00BD5CD2">
        <w:t xml:space="preserve"> </w:t>
      </w:r>
      <w:r>
        <w:t>That could make the project less attractive.</w:t>
      </w:r>
      <w:r w:rsidR="00BD5CD2">
        <w:t xml:space="preserve"> </w:t>
      </w:r>
      <w:r>
        <w:t>In addition, as the project goes forward, interest rates could rise during the construction period making the interest rates for the operating period less attractive.</w:t>
      </w:r>
      <w:r w:rsidR="00BD5CD2">
        <w:t xml:space="preserve"> </w:t>
      </w:r>
      <w:r w:rsidR="00113E76">
        <w:t>Lastly</w:t>
      </w:r>
      <w:r>
        <w:t>, as the project moves forward, the riskiness of the project could grow, increasing the spread between the index and the debt rate.</w:t>
      </w:r>
    </w:p>
    <w:p w14:paraId="1B536E7C" w14:textId="11F29031" w:rsidR="00F07B67" w:rsidRDefault="005939AC" w:rsidP="005939AC">
      <w:pPr>
        <w:pStyle w:val="BodyText"/>
      </w:pPr>
      <w:r w:rsidRPr="00FC53FF">
        <w:rPr>
          <w:u w:val="single"/>
        </w:rPr>
        <w:t>Federal</w:t>
      </w:r>
      <w:r w:rsidR="00D97281">
        <w:rPr>
          <w:u w:val="single"/>
        </w:rPr>
        <w:t xml:space="preserve"> and state</w:t>
      </w:r>
      <w:r w:rsidRPr="00FC53FF">
        <w:rPr>
          <w:u w:val="single"/>
        </w:rPr>
        <w:t xml:space="preserve"> incentives risks.</w:t>
      </w:r>
      <w:r w:rsidR="00BD5CD2">
        <w:rPr>
          <w:u w:val="single"/>
        </w:rPr>
        <w:t xml:space="preserve"> </w:t>
      </w:r>
      <w:r>
        <w:t>Renewable incentives associated with most types of renewables have already expired.</w:t>
      </w:r>
      <w:r w:rsidR="00BD5CD2">
        <w:t xml:space="preserve"> </w:t>
      </w:r>
      <w:r>
        <w:t>The renewable energy</w:t>
      </w:r>
      <w:r w:rsidRPr="00447A97">
        <w:t xml:space="preserve"> federal </w:t>
      </w:r>
      <w:r>
        <w:t>production tax credit (PTC)</w:t>
      </w:r>
      <w:r w:rsidRPr="00447A97">
        <w:t xml:space="preserve"> provides</w:t>
      </w:r>
      <w:r>
        <w:t xml:space="preserve"> a tax credit (adjusted for</w:t>
      </w:r>
      <w:r w:rsidRPr="00447A97">
        <w:t xml:space="preserve"> inflation</w:t>
      </w:r>
      <w:r>
        <w:t>) per kWh</w:t>
      </w:r>
      <w:r w:rsidRPr="00447A97">
        <w:t xml:space="preserve"> of electricity produced.</w:t>
      </w:r>
      <w:r w:rsidR="00BD5CD2">
        <w:t xml:space="preserve"> </w:t>
      </w:r>
      <w:r>
        <w:t>The wind PTC expires at the end of 2019.</w:t>
      </w:r>
      <w:r w:rsidR="00BD5CD2">
        <w:t xml:space="preserve"> </w:t>
      </w:r>
      <w:r>
        <w:t>In 2017, the credit is $0.0184/kWh.</w:t>
      </w:r>
      <w:r w:rsidR="00BD5CD2">
        <w:t xml:space="preserve"> </w:t>
      </w:r>
      <w:r>
        <w:t>The credit declines 40% in 2018, and 60% in 2019 from the 2016 base of $0.023.</w:t>
      </w:r>
      <w:r w:rsidR="00BD5CD2">
        <w:t xml:space="preserve"> </w:t>
      </w:r>
      <w:r w:rsidRPr="00447A97">
        <w:t xml:space="preserve">The PTC for all </w:t>
      </w:r>
      <w:r>
        <w:t xml:space="preserve">other </w:t>
      </w:r>
      <w:r w:rsidRPr="00447A97">
        <w:t>technologies expired in 2016</w:t>
      </w:r>
      <w:r>
        <w:t>.</w:t>
      </w:r>
      <w:r>
        <w:rPr>
          <w:rStyle w:val="FootnoteReference"/>
        </w:rPr>
        <w:footnoteReference w:id="15"/>
      </w:r>
      <w:r w:rsidR="00BD5CD2">
        <w:t xml:space="preserve"> </w:t>
      </w:r>
      <w:r w:rsidRPr="00447A97">
        <w:t xml:space="preserve">A 30% federal ITC is available for solar PV and thermal projects through 2019, after which there is a phased reduction in value of the credit until 2022 </w:t>
      </w:r>
      <w:r w:rsidRPr="00447A97">
        <w:lastRenderedPageBreak/>
        <w:t>when the credit becomes 10% permanently</w:t>
      </w:r>
      <w:r>
        <w:t>.</w:t>
      </w:r>
      <w:r>
        <w:rPr>
          <w:rStyle w:val="FootnoteReference"/>
        </w:rPr>
        <w:footnoteReference w:id="16"/>
      </w:r>
      <w:r w:rsidR="00BD5CD2">
        <w:t xml:space="preserve"> </w:t>
      </w:r>
      <w:r w:rsidRPr="00447A97">
        <w:t>The ITC is 26% in 2020 and 22% in 2021 (26 USC § 48(a)(6)).</w:t>
      </w:r>
      <w:r w:rsidR="00BD5CD2">
        <w:t xml:space="preserve"> </w:t>
      </w:r>
      <w:r>
        <w:t>In addition, state incentives are not always completely funded.</w:t>
      </w:r>
      <w:r w:rsidR="00BD5CD2">
        <w:t xml:space="preserve"> </w:t>
      </w:r>
      <w:r>
        <w:t>There is some risk the Alaska Energy Authorities Power Cost Equalization program may reduce incentives or that the Alaska legislature will not fully fund all of the incentive programs</w:t>
      </w:r>
      <w:r w:rsidR="009D0470">
        <w:t>.</w:t>
      </w:r>
    </w:p>
    <w:p w14:paraId="705F6459" w14:textId="38A6CB55" w:rsidR="00F07B67" w:rsidRDefault="00F07B67" w:rsidP="00F07B67">
      <w:pPr>
        <w:pStyle w:val="Heading2"/>
      </w:pPr>
      <w:bookmarkStart w:id="23" w:name="_Toc496624728"/>
      <w:r>
        <w:t>Other i</w:t>
      </w:r>
      <w:r w:rsidRPr="00F07B67">
        <w:t>ssues associated with financing</w:t>
      </w:r>
      <w:bookmarkEnd w:id="23"/>
    </w:p>
    <w:p w14:paraId="2A8871AD" w14:textId="79159323" w:rsidR="005939AC" w:rsidRDefault="005939AC" w:rsidP="005939AC">
      <w:pPr>
        <w:spacing w:before="240"/>
      </w:pPr>
      <w:r w:rsidRPr="00FC53FF">
        <w:rPr>
          <w:u w:val="single"/>
        </w:rPr>
        <w:t>Sinking funds.</w:t>
      </w:r>
      <w:r>
        <w:t xml:space="preserve"> Once financing alternatives are investigated, the village may need to get grants to provide the upfront equity which will allow the financiers to see a minimum debt coverage ratio of 1.25.</w:t>
      </w:r>
      <w:r w:rsidR="00BD5CD2">
        <w:t xml:space="preserve"> </w:t>
      </w:r>
      <w:r>
        <w:t>If there appears to be inadequate coverage for unusual events, the financier will probably require sinking funds to be set up to prepare for those shortfalls.</w:t>
      </w:r>
      <w:r w:rsidR="00BD5CD2">
        <w:t xml:space="preserve"> </w:t>
      </w:r>
      <w:r>
        <w:t>The sinking funds may be associated with the capacity factor risk and other revenue shortfall risks such as rising fuel prices, capital replacement and major O&amp;M repairs. Revenue risk may arise due wind speed variability, insolation variability, system downtime, equipment failure, and the time require to repair equipment in remote locations.</w:t>
      </w:r>
    </w:p>
    <w:p w14:paraId="254C455C" w14:textId="05457C5A" w:rsidR="005939AC" w:rsidRDefault="005939AC" w:rsidP="005939AC">
      <w:pPr>
        <w:spacing w:before="240"/>
      </w:pPr>
      <w:r w:rsidRPr="00FC53FF">
        <w:rPr>
          <w:u w:val="single"/>
        </w:rPr>
        <w:t>Project size.</w:t>
      </w:r>
      <w:r>
        <w:t xml:space="preserve"> Another issue that may detract from ESCO participation is the project size.</w:t>
      </w:r>
      <w:r w:rsidR="00BD5CD2">
        <w:t xml:space="preserve"> </w:t>
      </w:r>
      <w:r>
        <w:t>The project is somewhat small with the proposed mini-grid providing 600 kW of renewables. Additionally</w:t>
      </w:r>
      <w:r w:rsidR="0017400D">
        <w:t>,</w:t>
      </w:r>
      <w:r>
        <w:t xml:space="preserve"> total investment is not significant at $4.3 million.</w:t>
      </w:r>
      <w:r w:rsidR="00BD5CD2">
        <w:t xml:space="preserve"> </w:t>
      </w:r>
      <w:r>
        <w:t>The project may not provide adequate cash flow to provide an appetite for investment by an ESCO.</w:t>
      </w:r>
      <w:r w:rsidR="00BD5CD2">
        <w:t xml:space="preserve"> </w:t>
      </w:r>
      <w:r>
        <w:t>In addition, ESCOs usually like to see short payback periods.</w:t>
      </w:r>
      <w:r w:rsidR="00BD5CD2">
        <w:t xml:space="preserve"> </w:t>
      </w:r>
      <w:r>
        <w:t xml:space="preserve">If the project can payback in 7 years or less, investors are more inclined to participate. The project at a 10% rate of return pays back in 7-8 years. </w:t>
      </w:r>
    </w:p>
    <w:p w14:paraId="18AD6FC2" w14:textId="6BF34A4E" w:rsidR="00F07B67" w:rsidRPr="00F07B67" w:rsidRDefault="005939AC" w:rsidP="005939AC">
      <w:pPr>
        <w:pStyle w:val="BodyText"/>
      </w:pPr>
      <w:r w:rsidRPr="00FC53FF">
        <w:rPr>
          <w:u w:val="single"/>
        </w:rPr>
        <w:t>Collateral issues.</w:t>
      </w:r>
      <w:r>
        <w:t xml:space="preserve"> There may also be issues with what is considered acceptable collateral from the community.</w:t>
      </w:r>
      <w:r w:rsidR="00BD5CD2">
        <w:t xml:space="preserve"> </w:t>
      </w:r>
      <w:r>
        <w:t>Renewable energy projects have little value if they are in remote areas and the power can’t be exported and sold elsewhere. Additionally, the financier will want to see that the mortgagee has acceptable bookkeeping and billing systems to assure that repayment is made.</w:t>
      </w:r>
      <w:r w:rsidR="00BD5CD2">
        <w:t xml:space="preserve"> </w:t>
      </w:r>
      <w:r>
        <w:t>In addition, communities may be forced to look for lenders of last resort because the remoteness and the amount of investment required may be too small to attract major lenders.</w:t>
      </w:r>
    </w:p>
    <w:p w14:paraId="459D5140" w14:textId="77777777" w:rsidR="009C006E" w:rsidRDefault="009C006E" w:rsidP="005939AC">
      <w:pPr>
        <w:pStyle w:val="Heading1"/>
        <w:spacing w:before="240"/>
        <w:sectPr w:rsidR="009C006E" w:rsidSect="00DA79BF">
          <w:pgSz w:w="12240" w:h="15840" w:code="1"/>
          <w:pgMar w:top="1440" w:right="1440" w:bottom="1440" w:left="1440" w:header="720" w:footer="720" w:gutter="0"/>
          <w:pgNumType w:start="1" w:chapStyle="1" w:chapSep="period"/>
          <w:cols w:space="720"/>
        </w:sectPr>
      </w:pPr>
    </w:p>
    <w:p w14:paraId="58A9344F" w14:textId="15F726EF" w:rsidR="00A337BF" w:rsidRDefault="00F07B67" w:rsidP="0044790B">
      <w:pPr>
        <w:pStyle w:val="Heading1"/>
      </w:pPr>
      <w:bookmarkStart w:id="24" w:name="_Toc496624729"/>
      <w:r w:rsidRPr="00F07B67">
        <w:lastRenderedPageBreak/>
        <w:t>Financial Analysis of Selected Option</w:t>
      </w:r>
      <w:bookmarkEnd w:id="24"/>
    </w:p>
    <w:p w14:paraId="68B9D713" w14:textId="1237EA87" w:rsidR="005939AC" w:rsidRDefault="005939AC" w:rsidP="005939AC">
      <w:pPr>
        <w:spacing w:before="240"/>
      </w:pPr>
      <w:r>
        <w:t xml:space="preserve">The project costs $4.3 million installed. The project </w:t>
      </w:r>
      <w:r w:rsidRPr="002D6F06">
        <w:rPr>
          <w:i/>
        </w:rPr>
        <w:t>pro forma</w:t>
      </w:r>
      <w:r>
        <w:t xml:space="preserve"> assumes a weighted average cost of capital approach to the cost financing as the financing approach at this time is unknown.</w:t>
      </w:r>
      <w:r w:rsidR="00BD5CD2">
        <w:t xml:space="preserve"> </w:t>
      </w:r>
      <w:r>
        <w:t xml:space="preserve">Shungnak’s Alaska Village Electric Cooperative as a nonprofit cooperative utility would likely require a nominal 4% rate of return as the cost of their capital if borrowed could be as high as 3% and inflation is assumed to add another 1% to the required rate of return. </w:t>
      </w:r>
    </w:p>
    <w:p w14:paraId="1E7A1AD5" w14:textId="25DA421C" w:rsidR="005939AC" w:rsidRDefault="005939AC" w:rsidP="005939AC">
      <w:pPr>
        <w:spacing w:before="240"/>
      </w:pPr>
      <w:r>
        <w:t>An energy service company (ESCO) could provide an alternative approach that provides delivery of electricity services for a rate of return above that which the Alaska Village Electric Cooperative might require. As such the cost of electricity may rise but the renewable energy resources may be more likely to remain viable.</w:t>
      </w:r>
      <w:r w:rsidR="00BD5CD2">
        <w:t xml:space="preserve"> </w:t>
      </w:r>
      <w:r>
        <w:t>The ESCO would require a cost of capital in the 6.8%-10% range after tax at least. We evaluated the ESCO at a 10% internal rate of return.</w:t>
      </w:r>
      <w:r w:rsidR="00BD5CD2">
        <w:t xml:space="preserve"> </w:t>
      </w:r>
      <w:r>
        <w:t>The ESCO would have to pay Federal, state and/or local taxes depending on their location. (There could be tax implications based on the ownership of projects on tribal lands and should be investigated.) Complete equity financing is expensive so debt would probably be included.</w:t>
      </w:r>
      <w:r w:rsidR="00BD5CD2">
        <w:t xml:space="preserve"> </w:t>
      </w:r>
      <w:r w:rsidR="00D97281" w:rsidRPr="00D97281">
        <w:t>Thus, between a not-for-profit and an ESCO we have bracketed the relative electricity costs.</w:t>
      </w:r>
    </w:p>
    <w:p w14:paraId="1326B063" w14:textId="55003F68" w:rsidR="005939AC" w:rsidRDefault="005939AC" w:rsidP="005939AC">
      <w:pPr>
        <w:spacing w:before="240"/>
      </w:pPr>
      <w:r>
        <w:t>Bank financing is usually short term and based on points above the London Interbank Offered Rate (LIBOR).</w:t>
      </w:r>
      <w:r w:rsidR="00BD5CD2">
        <w:t xml:space="preserve"> </w:t>
      </w:r>
      <w:r>
        <w:t>The 12-month LIBOR rate ranged between 2.7 and 3.0 over the last six months.</w:t>
      </w:r>
      <w:r>
        <w:rPr>
          <w:rStyle w:val="FootnoteReference"/>
        </w:rPr>
        <w:footnoteReference w:id="17"/>
      </w:r>
      <w:r w:rsidR="00BD5CD2">
        <w:t xml:space="preserve"> </w:t>
      </w:r>
      <w:r>
        <w:t>In addition, renewables projects have been financed with tax equity.</w:t>
      </w:r>
      <w:r w:rsidR="00BD5CD2">
        <w:t xml:space="preserve"> </w:t>
      </w:r>
      <w:r>
        <w:t>Typical renewable energy developers don’t have an appetite to reduce taxes so they partner with companies that do pay taxes and wish to reduce them.</w:t>
      </w:r>
      <w:r w:rsidR="00BD5CD2">
        <w:t xml:space="preserve"> </w:t>
      </w:r>
      <w:r>
        <w:t>The tax equity usually requires 7.5-9.5% return on equity after taxes.</w:t>
      </w:r>
      <w:r>
        <w:rPr>
          <w:rStyle w:val="FootnoteReference"/>
        </w:rPr>
        <w:footnoteReference w:id="18"/>
      </w:r>
      <w:r w:rsidR="00BD5CD2">
        <w:t xml:space="preserve"> </w:t>
      </w:r>
      <w:r>
        <w:t>They usually require $75-$100 million in projects, so the ESCO would need more projects than an Alaska village to reach the tax equity appetite.</w:t>
      </w:r>
      <w:r w:rsidR="00BD5CD2">
        <w:t xml:space="preserve"> </w:t>
      </w:r>
      <w:r>
        <w:t xml:space="preserve">The ESCO could also finance the projects based on its balance sheet which obtains debt secured by its assets. </w:t>
      </w:r>
      <w:r w:rsidRPr="004121D8">
        <w:rPr>
          <w:rStyle w:val="CommentReference"/>
          <w:sz w:val="24"/>
          <w:szCs w:val="24"/>
        </w:rPr>
        <w:t>C</w:t>
      </w:r>
      <w:r>
        <w:t>orporate bond rates ranged as follows over the last five months: 10 year BBB+ bonds 3.79 to 4.02% and AAA 2.77 - 3.04%. Thirty year BBB+ bonds yielded between 4.9 and 5.24% over the last five months.</w:t>
      </w:r>
      <w:r>
        <w:rPr>
          <w:rStyle w:val="FootnoteReference"/>
        </w:rPr>
        <w:footnoteReference w:id="19"/>
      </w:r>
      <w:r>
        <w:t xml:space="preserve"> Thirty year US treasury rates are around 2.7-3.0% during May – October 2017. Institutional debt would be based on risk of the project above the treasury rate. </w:t>
      </w:r>
    </w:p>
    <w:p w14:paraId="775C8C56" w14:textId="053FBEAC" w:rsidR="005939AC" w:rsidRDefault="005939AC" w:rsidP="005939AC">
      <w:pPr>
        <w:spacing w:before="240"/>
      </w:pPr>
      <w:r>
        <w:t>Municipal and cooperative entities need to recover the cost of debt</w:t>
      </w:r>
      <w:r w:rsidR="00D26F43">
        <w:t>,</w:t>
      </w:r>
      <w:r>
        <w:t xml:space="preserve"> which could be the municipal bond market, bank for cooperatives, grants, or bank loans. The municipal market is based on the credit worthiness of the institution borrowing money.</w:t>
      </w:r>
      <w:r w:rsidR="00BD5CD2">
        <w:t xml:space="preserve"> </w:t>
      </w:r>
      <w:r w:rsidR="0017400D">
        <w:t>Currently 30-</w:t>
      </w:r>
      <w:r>
        <w:t>year, AA municipal debt is near 3.88% while B- is near 5.03%.</w:t>
      </w:r>
      <w:r>
        <w:rPr>
          <w:rStyle w:val="FootnoteReference"/>
        </w:rPr>
        <w:footnoteReference w:id="20"/>
      </w:r>
      <w:r>
        <w:t xml:space="preserve"> Twenty-year debt is somewhat lower.</w:t>
      </w:r>
    </w:p>
    <w:p w14:paraId="480423C4" w14:textId="66E6B3E3" w:rsidR="005939AC" w:rsidRPr="001D3971" w:rsidRDefault="005939AC" w:rsidP="005939AC">
      <w:pPr>
        <w:spacing w:before="240"/>
      </w:pPr>
      <w:r>
        <w:t>Small villages are unlikely to have a bond rating to provide a basis for repayment risk.</w:t>
      </w:r>
      <w:r w:rsidR="00BD5CD2">
        <w:t xml:space="preserve"> </w:t>
      </w:r>
      <w:r>
        <w:t>They may be able to receive grants and government subsidized loans to add to their infrastructure to reduce diesel oil consumption.</w:t>
      </w:r>
      <w:r w:rsidR="00BD5CD2">
        <w:t xml:space="preserve"> </w:t>
      </w:r>
      <w:r>
        <w:t>The following provides a short discussion of alternatives:</w:t>
      </w:r>
      <w:r w:rsidR="00BD5CD2">
        <w:t xml:space="preserve"> </w:t>
      </w:r>
      <w:r w:rsidRPr="001D3971">
        <w:t>Power Project Loan Fund</w:t>
      </w:r>
      <w:r>
        <w:t>,</w:t>
      </w:r>
      <w:r w:rsidRPr="001D3971">
        <w:t xml:space="preserve"> Renewable Energy Grant Program Clean Renewable Energy Bonds (CREBS)</w:t>
      </w:r>
      <w:r>
        <w:t>;</w:t>
      </w:r>
      <w:r w:rsidRPr="001D3971">
        <w:t xml:space="preserve"> </w:t>
      </w:r>
      <w:r>
        <w:t xml:space="preserve">and </w:t>
      </w:r>
      <w:r w:rsidRPr="001D3971">
        <w:t>USDA – Rural Energy for America Program (REAP) Grants.</w:t>
      </w:r>
      <w:r w:rsidR="00BD5CD2">
        <w:t xml:space="preserve"> </w:t>
      </w:r>
    </w:p>
    <w:p w14:paraId="76786A91" w14:textId="6C5CB97B" w:rsidR="005939AC" w:rsidRDefault="005939AC" w:rsidP="005939AC">
      <w:pPr>
        <w:spacing w:before="240"/>
      </w:pPr>
      <w:r>
        <w:rPr>
          <w:u w:val="single"/>
        </w:rPr>
        <w:lastRenderedPageBreak/>
        <w:t>Power Project Loan Fund.</w:t>
      </w:r>
      <w:r w:rsidR="00BD5CD2">
        <w:t xml:space="preserve"> </w:t>
      </w:r>
      <w:r>
        <w:t>The Alaska Industrial Development and Export Authority provides loans for renewable energy projects to local government, and municipal and cooperative utilities up to $5 million.</w:t>
      </w:r>
      <w:r w:rsidR="00BD5CD2">
        <w:t xml:space="preserve"> </w:t>
      </w:r>
      <w:r>
        <w:t>Projects over $5 million require legislative approval.</w:t>
      </w:r>
      <w:r w:rsidR="00BD5CD2">
        <w:t xml:space="preserve"> </w:t>
      </w:r>
      <w:r>
        <w:t>The interest rate varies but the highest rate is tied to municipal bond rates and maturity is set to useful project life. The power project loan fund can be a lender of last resort.</w:t>
      </w:r>
      <w:r>
        <w:rPr>
          <w:rStyle w:val="FootnoteReference"/>
        </w:rPr>
        <w:footnoteReference w:id="21"/>
      </w:r>
    </w:p>
    <w:p w14:paraId="1E2A0197" w14:textId="72DD5FDD" w:rsidR="005939AC" w:rsidRDefault="005939AC" w:rsidP="005939AC">
      <w:pPr>
        <w:spacing w:before="240"/>
      </w:pPr>
      <w:r w:rsidRPr="00E426EA">
        <w:rPr>
          <w:u w:val="single"/>
        </w:rPr>
        <w:t>Renewable Energy Grant Program.</w:t>
      </w:r>
      <w:r w:rsidR="00BD5CD2">
        <w:t xml:space="preserve"> </w:t>
      </w:r>
      <w:r>
        <w:t>Upon state appropriation, renewable energy projects can receive grants to cover their costs.</w:t>
      </w:r>
      <w:r w:rsidR="00BD5CD2">
        <w:t xml:space="preserve"> </w:t>
      </w:r>
      <w:r>
        <w:t>The legislature didn’t appropriate funds for projects in 2016, so projects are being held over for funding on the next round.</w:t>
      </w:r>
      <w:r w:rsidR="00BD5CD2">
        <w:t xml:space="preserve"> </w:t>
      </w:r>
      <w:r>
        <w:t>Projects are funded directly by the legislature depending on public benefit.</w:t>
      </w:r>
      <w:r w:rsidR="00BD5CD2">
        <w:t xml:space="preserve"> </w:t>
      </w:r>
      <w:r>
        <w:t>The funding can be obtained by investor-owned, municipal, or cooperative utilities, state or local government, utilities, tribal government, and retail suppliers.</w:t>
      </w:r>
      <w:r>
        <w:rPr>
          <w:rStyle w:val="FootnoteReference"/>
        </w:rPr>
        <w:footnoteReference w:id="22"/>
      </w:r>
    </w:p>
    <w:p w14:paraId="2815E4EC" w14:textId="50DD05E3" w:rsidR="005939AC" w:rsidRPr="00B4174B" w:rsidRDefault="005939AC" w:rsidP="005939AC">
      <w:pPr>
        <w:spacing w:before="240"/>
      </w:pPr>
      <w:r w:rsidRPr="00B4174B">
        <w:rPr>
          <w:u w:val="single"/>
        </w:rPr>
        <w:t>Clean Renewable Energy Bonds (CREBS).</w:t>
      </w:r>
      <w:r>
        <w:t xml:space="preserve"> CREBS can be issued by Tribal, local and state governments, and cooperatives to fund renewable energy projects.</w:t>
      </w:r>
      <w:r w:rsidR="00BD5CD2">
        <w:t xml:space="preserve"> </w:t>
      </w:r>
      <w:r>
        <w:t>The bondholder receives federal tax credits to cover the interest cost while the issuer must pay the principal portion, thus an interest free loan from the issuer’s perspective.</w:t>
      </w:r>
      <w:r>
        <w:rPr>
          <w:rStyle w:val="FootnoteReference"/>
        </w:rPr>
        <w:footnoteReference w:id="23"/>
      </w:r>
    </w:p>
    <w:p w14:paraId="5DABEDBE" w14:textId="3CC98048" w:rsidR="005939AC" w:rsidRDefault="005939AC" w:rsidP="005939AC">
      <w:pPr>
        <w:spacing w:before="240"/>
      </w:pPr>
      <w:r w:rsidRPr="003B6045">
        <w:rPr>
          <w:u w:val="single"/>
        </w:rPr>
        <w:t>USDA – Rural Energy for America Program (REAP) Grants.</w:t>
      </w:r>
      <w:r w:rsidR="00BD5CD2">
        <w:t xml:space="preserve"> </w:t>
      </w:r>
      <w:r>
        <w:t>REAP grants are provided for installing renewable energy systems.</w:t>
      </w:r>
      <w:r w:rsidR="00BD5CD2">
        <w:t xml:space="preserve"> </w:t>
      </w:r>
      <w:r>
        <w:t>The grants and loans are provided to commercial and agricultural producers and to entities that USDA chooses to fund.</w:t>
      </w:r>
      <w:r w:rsidR="00BD5CD2">
        <w:t xml:space="preserve"> </w:t>
      </w:r>
      <w:r>
        <w:t>Grants can be up to 25% of project cost including design, permitting and construction. The remaining funds are provided in the form of a loan.</w:t>
      </w:r>
      <w:r w:rsidR="00BD5CD2">
        <w:t xml:space="preserve"> </w:t>
      </w:r>
      <w:r>
        <w:t>Loan guarantees can’t exceed $25 million.</w:t>
      </w:r>
      <w:r>
        <w:rPr>
          <w:rStyle w:val="FootnoteReference"/>
        </w:rPr>
        <w:footnoteReference w:id="24"/>
      </w:r>
    </w:p>
    <w:p w14:paraId="6B9A2931" w14:textId="155A7C44" w:rsidR="005939AC" w:rsidRDefault="005939AC" w:rsidP="005939AC">
      <w:pPr>
        <w:spacing w:before="240"/>
      </w:pPr>
      <w:r>
        <w:t>Some combination of the above funding sources might be used to meet the project funding requirements.</w:t>
      </w:r>
      <w:r w:rsidR="00BD5CD2">
        <w:t xml:space="preserve"> </w:t>
      </w:r>
      <w:r>
        <w:t>In addition, the project may benefit from tax incentives if the utility pays federal, state or local taxes.</w:t>
      </w:r>
      <w:r w:rsidR="00BD5CD2">
        <w:t xml:space="preserve"> </w:t>
      </w:r>
      <w:r>
        <w:t>Alaska provides for property tax exemptions for renewable energy systems.</w:t>
      </w:r>
      <w:r w:rsidR="00BD5CD2">
        <w:t xml:space="preserve"> </w:t>
      </w:r>
      <w:r>
        <w:t>The federal government provides an investment tax credit (ITC) for solar which remains at 30% through 2019 and then declines to 10% by 2022. Geothermal receives a 10% ITC.</w:t>
      </w:r>
      <w:r w:rsidR="00BD5CD2">
        <w:t xml:space="preserve"> </w:t>
      </w:r>
      <w:r>
        <w:t>Large wind receives an 18% ITC in 2018 and 12% in 2019 and none thereafter.</w:t>
      </w:r>
      <w:r w:rsidR="00BD5CD2">
        <w:t xml:space="preserve"> </w:t>
      </w:r>
      <w:r>
        <w:t>Small wind receives no credit. Large wind is greater than 100 kW.</w:t>
      </w:r>
      <w:r>
        <w:rPr>
          <w:rStyle w:val="FootnoteReference"/>
        </w:rPr>
        <w:footnoteReference w:id="25"/>
      </w:r>
      <w:r w:rsidR="00BD5CD2">
        <w:t xml:space="preserve"> </w:t>
      </w:r>
      <w:r>
        <w:t>Large wind can receives a $0.0184/kWh production tax credit in 2017.</w:t>
      </w:r>
      <w:r w:rsidR="00BD5CD2">
        <w:t xml:space="preserve"> </w:t>
      </w:r>
      <w:r>
        <w:t>The credit is reduced by 40% in 2018 and 60% in 2019 from the 2016 level of $0.023/kWh and discontinued thereafter.</w:t>
      </w:r>
      <w:r>
        <w:rPr>
          <w:rStyle w:val="FootnoteReference"/>
        </w:rPr>
        <w:footnoteReference w:id="26"/>
      </w:r>
      <w:r>
        <w:t xml:space="preserve"> The federal tax credits, however can only be used by entities that pay federal taxes.</w:t>
      </w:r>
    </w:p>
    <w:p w14:paraId="57A27A33" w14:textId="0A61A4E4" w:rsidR="005939AC" w:rsidRDefault="005939AC" w:rsidP="005939AC">
      <w:pPr>
        <w:spacing w:before="240"/>
      </w:pPr>
      <w:r>
        <w:t>The sources and uses of funds sheet shows that $4.3 million of funding is required from a mix of sources listed above. The marginal cost of electricity is $0.632/kWh for diesel</w:t>
      </w:r>
      <w:r w:rsidR="00F620FC">
        <w:t xml:space="preserve"> generation</w:t>
      </w:r>
      <w:r>
        <w:t xml:space="preserve"> only with fuel providing $0.530/kWh of the total. A price of $0.681/kWh will be required for an ESCO to breakeven to reach a 10% return after taxes without the production tax credit and $0.673/kWh with the tax credit assuming construction begins by December 31, 2019. Prices for electricity </w:t>
      </w:r>
      <w:r w:rsidR="009874FD">
        <w:t xml:space="preserve">supplied to the stoves </w:t>
      </w:r>
      <w:r>
        <w:t xml:space="preserve">would need to be approximately $0.006/kWh to recover the extra cost of the electric thermal stoves </w:t>
      </w:r>
      <w:r w:rsidR="007C05DC">
        <w:t xml:space="preserve">all consumers </w:t>
      </w:r>
      <w:r w:rsidR="007C05DC">
        <w:lastRenderedPageBreak/>
        <w:t>unexpectedly chose to opt-out of using the stoves</w:t>
      </w:r>
      <w:r>
        <w:t xml:space="preserve">They make economic sense, so consumers probably will accept them. In the ESCO/ Cooperative approach, the ESCO was assumed to acquire the diesels free of charge. </w:t>
      </w:r>
    </w:p>
    <w:p w14:paraId="30E91B5C" w14:textId="690A317A" w:rsidR="00EB628B" w:rsidRDefault="005939AC" w:rsidP="005939AC">
      <w:pPr>
        <w:pStyle w:val="BodyText"/>
      </w:pPr>
      <w:r>
        <w:t>The Alaska Village Electric Cooperative would need to repay the funding over the 20-year project life.</w:t>
      </w:r>
      <w:r w:rsidR="00BD5CD2">
        <w:t xml:space="preserve"> </w:t>
      </w:r>
      <w:r>
        <w:t>Debt coverage ratios should never be lower than 1.25, a lender minimum.</w:t>
      </w:r>
      <w:r w:rsidR="00BD5CD2">
        <w:t xml:space="preserve"> </w:t>
      </w:r>
      <w:r>
        <w:t xml:space="preserve">The utility would need </w:t>
      </w:r>
      <w:r w:rsidR="009A2B04">
        <w:t xml:space="preserve">to </w:t>
      </w:r>
      <w:r>
        <w:t>charge $0.548/kWh should they decide to operate the facility.</w:t>
      </w:r>
      <w:r w:rsidR="00BD5CD2">
        <w:t xml:space="preserve"> </w:t>
      </w:r>
      <w:r>
        <w:t>The prices would be $0.550/kWh if no one chooses to use the electric thermal stoves.</w:t>
      </w:r>
      <w:r w:rsidR="00BD5CD2">
        <w:t xml:space="preserve"> </w:t>
      </w:r>
      <w:r>
        <w:t xml:space="preserve">The remaining differences between projected prices and the prices listed here </w:t>
      </w:r>
      <w:r w:rsidR="008B0009">
        <w:t>are</w:t>
      </w:r>
      <w:r>
        <w:t xml:space="preserve"> </w:t>
      </w:r>
      <w:r w:rsidR="008B0009">
        <w:t xml:space="preserve">distribution costs and </w:t>
      </w:r>
      <w:r>
        <w:t xml:space="preserve">overhead or General and Administrative </w:t>
      </w:r>
      <w:r w:rsidR="008B0009">
        <w:t xml:space="preserve">(G&amp;A) </w:t>
      </w:r>
      <w:r>
        <w:t>costs</w:t>
      </w:r>
      <w:r w:rsidR="00BD5CD2">
        <w:t xml:space="preserve"> (s</w:t>
      </w:r>
      <w:r w:rsidR="00D61AD9">
        <w:t xml:space="preserve">ee </w:t>
      </w:r>
      <w:r w:rsidR="00BD5CD2">
        <w:t>T</w:t>
      </w:r>
      <w:r w:rsidR="00D61AD9">
        <w:t xml:space="preserve">able </w:t>
      </w:r>
      <w:r w:rsidR="009C006E">
        <w:t>8-1</w:t>
      </w:r>
      <w:r w:rsidR="00BD5CD2">
        <w:t>)</w:t>
      </w:r>
      <w:r w:rsidR="00D61AD9">
        <w:t xml:space="preserve">.  </w:t>
      </w:r>
    </w:p>
    <w:p w14:paraId="4B94C753" w14:textId="79CB649F" w:rsidR="00D61AD9" w:rsidRDefault="00033A7F" w:rsidP="005939AC">
      <w:pPr>
        <w:pStyle w:val="BodyText"/>
        <w:spacing w:after="120"/>
        <w:jc w:val="center"/>
      </w:pPr>
      <w:bookmarkStart w:id="25" w:name="_Toc496624244"/>
      <w:r w:rsidRPr="00033A7F">
        <w:rPr>
          <w:b/>
        </w:rPr>
        <w:t xml:space="preserve">Table </w:t>
      </w:r>
      <w:r>
        <w:rPr>
          <w:b/>
        </w:rPr>
        <w:fldChar w:fldCharType="begin"/>
      </w:r>
      <w:r>
        <w:rPr>
          <w:b/>
        </w:rPr>
        <w:instrText xml:space="preserve"> STYLEREF 1 \s </w:instrText>
      </w:r>
      <w:r>
        <w:rPr>
          <w:b/>
        </w:rPr>
        <w:fldChar w:fldCharType="separate"/>
      </w:r>
      <w:r>
        <w:rPr>
          <w:b/>
          <w:noProof/>
        </w:rPr>
        <w:t>8</w:t>
      </w:r>
      <w:r>
        <w:rPr>
          <w:b/>
        </w:rPr>
        <w:fldChar w:fldCharType="end"/>
      </w:r>
      <w:r>
        <w:rPr>
          <w:b/>
        </w:rPr>
        <w:noBreakHyphen/>
      </w:r>
      <w:r>
        <w:rPr>
          <w:b/>
        </w:rPr>
        <w:fldChar w:fldCharType="begin"/>
      </w:r>
      <w:r>
        <w:rPr>
          <w:b/>
        </w:rPr>
        <w:instrText xml:space="preserve"> SEQ Table \* ARABIC \s 1 </w:instrText>
      </w:r>
      <w:r>
        <w:rPr>
          <w:b/>
        </w:rPr>
        <w:fldChar w:fldCharType="separate"/>
      </w:r>
      <w:r>
        <w:rPr>
          <w:b/>
          <w:noProof/>
        </w:rPr>
        <w:t>1</w:t>
      </w:r>
      <w:r>
        <w:rPr>
          <w:b/>
        </w:rPr>
        <w:fldChar w:fldCharType="end"/>
      </w:r>
      <w:r w:rsidR="0044790B" w:rsidRPr="00033A7F">
        <w:rPr>
          <w:b/>
        </w:rPr>
        <w:t>:</w:t>
      </w:r>
      <w:r w:rsidR="00D61AD9" w:rsidRPr="00033A7F">
        <w:rPr>
          <w:b/>
        </w:rPr>
        <w:t xml:space="preserve"> </w:t>
      </w:r>
      <w:r w:rsidR="00D61AD9" w:rsidRPr="00033A7F">
        <w:t xml:space="preserve">Marginal </w:t>
      </w:r>
      <w:r>
        <w:t>price of v</w:t>
      </w:r>
      <w:r w:rsidR="00D61AD9" w:rsidRPr="00033A7F">
        <w:t>illa</w:t>
      </w:r>
      <w:r w:rsidR="0044790B" w:rsidRPr="00033A7F">
        <w:t xml:space="preserve">ge </w:t>
      </w:r>
      <w:r>
        <w:t xml:space="preserve">utility </w:t>
      </w:r>
      <w:r w:rsidR="0044790B" w:rsidRPr="00033A7F">
        <w:t>and ESCO options</w:t>
      </w:r>
      <w:bookmarkEnd w:id="25"/>
    </w:p>
    <w:tbl>
      <w:tblPr>
        <w:tblStyle w:val="TableGrid1"/>
        <w:tblW w:w="0" w:type="auto"/>
        <w:jc w:val="center"/>
        <w:tblLook w:val="04A0" w:firstRow="1" w:lastRow="0" w:firstColumn="1" w:lastColumn="0" w:noHBand="0" w:noVBand="1"/>
      </w:tblPr>
      <w:tblGrid>
        <w:gridCol w:w="2876"/>
        <w:gridCol w:w="2877"/>
        <w:gridCol w:w="2877"/>
      </w:tblGrid>
      <w:tr w:rsidR="0044790B" w:rsidRPr="0044790B" w14:paraId="5AC1DAC5" w14:textId="77777777" w:rsidTr="00EB628B">
        <w:trPr>
          <w:jc w:val="center"/>
        </w:trPr>
        <w:tc>
          <w:tcPr>
            <w:tcW w:w="2876" w:type="dxa"/>
          </w:tcPr>
          <w:p w14:paraId="79AF05DC" w14:textId="77777777" w:rsidR="0044790B" w:rsidRPr="005939AC" w:rsidRDefault="0044790B" w:rsidP="00EB628B">
            <w:pPr>
              <w:tabs>
                <w:tab w:val="clear" w:pos="360"/>
                <w:tab w:val="clear" w:pos="720"/>
                <w:tab w:val="clear" w:pos="1080"/>
              </w:tabs>
              <w:rPr>
                <w:rFonts w:asciiTheme="majorHAnsi" w:hAnsiTheme="majorHAnsi" w:cstheme="majorHAnsi"/>
                <w:lang w:eastAsia="ja-JP"/>
              </w:rPr>
            </w:pPr>
            <w:r w:rsidRPr="005939AC">
              <w:rPr>
                <w:rFonts w:asciiTheme="majorHAnsi" w:hAnsiTheme="majorHAnsi" w:cstheme="majorHAnsi"/>
                <w:lang w:eastAsia="ja-JP"/>
              </w:rPr>
              <w:t>Alternatives</w:t>
            </w:r>
          </w:p>
        </w:tc>
        <w:tc>
          <w:tcPr>
            <w:tcW w:w="2877" w:type="dxa"/>
          </w:tcPr>
          <w:p w14:paraId="4A80D437" w14:textId="56688E94" w:rsidR="0044790B" w:rsidRPr="005939AC" w:rsidRDefault="005939AC" w:rsidP="00EB628B">
            <w:pPr>
              <w:tabs>
                <w:tab w:val="clear" w:pos="360"/>
                <w:tab w:val="clear" w:pos="720"/>
                <w:tab w:val="clear" w:pos="1080"/>
              </w:tabs>
              <w:rPr>
                <w:rFonts w:asciiTheme="majorHAnsi" w:hAnsiTheme="majorHAnsi" w:cstheme="majorHAnsi"/>
                <w:lang w:eastAsia="ja-JP"/>
              </w:rPr>
            </w:pPr>
            <w:r w:rsidRPr="005939AC">
              <w:rPr>
                <w:rFonts w:asciiTheme="majorHAnsi" w:hAnsiTheme="majorHAnsi" w:cstheme="majorHAnsi"/>
                <w:lang w:eastAsia="ja-JP"/>
              </w:rPr>
              <w:t>Shungnak</w:t>
            </w:r>
            <w:r w:rsidR="0044790B" w:rsidRPr="005939AC">
              <w:rPr>
                <w:rFonts w:asciiTheme="majorHAnsi" w:hAnsiTheme="majorHAnsi" w:cstheme="majorHAnsi"/>
                <w:lang w:eastAsia="ja-JP"/>
              </w:rPr>
              <w:t xml:space="preserve"> Utility</w:t>
            </w:r>
          </w:p>
        </w:tc>
        <w:tc>
          <w:tcPr>
            <w:tcW w:w="2877" w:type="dxa"/>
          </w:tcPr>
          <w:p w14:paraId="4B5A1AC5" w14:textId="77777777" w:rsidR="0044790B" w:rsidRPr="005939AC" w:rsidRDefault="0044790B" w:rsidP="00EB628B">
            <w:pPr>
              <w:tabs>
                <w:tab w:val="clear" w:pos="360"/>
                <w:tab w:val="clear" w:pos="720"/>
                <w:tab w:val="clear" w:pos="1080"/>
              </w:tabs>
              <w:rPr>
                <w:rFonts w:asciiTheme="majorHAnsi" w:hAnsiTheme="majorHAnsi" w:cstheme="majorHAnsi"/>
                <w:lang w:eastAsia="ja-JP"/>
              </w:rPr>
            </w:pPr>
            <w:r w:rsidRPr="005939AC">
              <w:rPr>
                <w:rFonts w:asciiTheme="majorHAnsi" w:hAnsiTheme="majorHAnsi" w:cstheme="majorHAnsi"/>
                <w:lang w:eastAsia="ja-JP"/>
              </w:rPr>
              <w:t>ESCO</w:t>
            </w:r>
          </w:p>
        </w:tc>
      </w:tr>
      <w:tr w:rsidR="005939AC" w:rsidRPr="0044790B" w14:paraId="115A45BB" w14:textId="77777777" w:rsidTr="00EB628B">
        <w:trPr>
          <w:jc w:val="center"/>
        </w:trPr>
        <w:tc>
          <w:tcPr>
            <w:tcW w:w="2876" w:type="dxa"/>
          </w:tcPr>
          <w:p w14:paraId="59F2A449" w14:textId="77777777" w:rsidR="005939AC" w:rsidRPr="00BD5CD2" w:rsidRDefault="005939AC" w:rsidP="005939AC">
            <w:pPr>
              <w:tabs>
                <w:tab w:val="clear" w:pos="360"/>
                <w:tab w:val="clear" w:pos="720"/>
                <w:tab w:val="clear" w:pos="1080"/>
              </w:tabs>
              <w:rPr>
                <w:rFonts w:ascii="Calibri" w:hAnsi="Calibri" w:cstheme="majorHAnsi"/>
                <w:lang w:eastAsia="ja-JP"/>
              </w:rPr>
            </w:pPr>
            <w:r w:rsidRPr="00BD5CD2">
              <w:rPr>
                <w:rFonts w:ascii="Calibri" w:hAnsi="Calibri" w:cstheme="majorHAnsi"/>
                <w:lang w:eastAsia="ja-JP"/>
              </w:rPr>
              <w:t>Direct Electricity Price with Thermal Stoves used</w:t>
            </w:r>
          </w:p>
        </w:tc>
        <w:tc>
          <w:tcPr>
            <w:tcW w:w="2877" w:type="dxa"/>
          </w:tcPr>
          <w:p w14:paraId="4C9573DD" w14:textId="1B89AB0D" w:rsidR="005939AC" w:rsidRPr="00BD5CD2" w:rsidRDefault="005939AC" w:rsidP="005939AC">
            <w:pPr>
              <w:tabs>
                <w:tab w:val="clear" w:pos="360"/>
                <w:tab w:val="clear" w:pos="720"/>
                <w:tab w:val="clear" w:pos="1080"/>
              </w:tabs>
              <w:rPr>
                <w:rFonts w:ascii="Calibri" w:hAnsi="Calibri" w:cstheme="majorHAnsi"/>
                <w:lang w:eastAsia="ja-JP"/>
              </w:rPr>
            </w:pPr>
            <w:r w:rsidRPr="00BD5CD2">
              <w:rPr>
                <w:rFonts w:ascii="Calibri" w:hAnsi="Calibri" w:cstheme="majorHAnsi"/>
              </w:rPr>
              <w:t>$0.548/kWh</w:t>
            </w:r>
          </w:p>
        </w:tc>
        <w:tc>
          <w:tcPr>
            <w:tcW w:w="2877" w:type="dxa"/>
          </w:tcPr>
          <w:p w14:paraId="1C8ABBFB" w14:textId="7477DAA7" w:rsidR="005939AC" w:rsidRPr="00BD5CD2" w:rsidRDefault="005939AC" w:rsidP="005939AC">
            <w:pPr>
              <w:tabs>
                <w:tab w:val="clear" w:pos="360"/>
                <w:tab w:val="clear" w:pos="720"/>
                <w:tab w:val="clear" w:pos="1080"/>
              </w:tabs>
              <w:rPr>
                <w:rFonts w:ascii="Calibri" w:hAnsi="Calibri" w:cstheme="majorHAnsi"/>
                <w:lang w:eastAsia="ja-JP"/>
              </w:rPr>
            </w:pPr>
            <w:r w:rsidRPr="00BD5CD2">
              <w:rPr>
                <w:rFonts w:ascii="Calibri" w:hAnsi="Calibri" w:cstheme="majorHAnsi"/>
              </w:rPr>
              <w:t>$0.695/kWh</w:t>
            </w:r>
          </w:p>
        </w:tc>
      </w:tr>
      <w:tr w:rsidR="005939AC" w:rsidRPr="0044790B" w14:paraId="55236B8F" w14:textId="77777777" w:rsidTr="00EB628B">
        <w:trPr>
          <w:jc w:val="center"/>
        </w:trPr>
        <w:tc>
          <w:tcPr>
            <w:tcW w:w="2876" w:type="dxa"/>
          </w:tcPr>
          <w:p w14:paraId="4F31DD97" w14:textId="77777777" w:rsidR="005939AC" w:rsidRPr="00BD5CD2" w:rsidRDefault="005939AC" w:rsidP="005939AC">
            <w:pPr>
              <w:tabs>
                <w:tab w:val="clear" w:pos="360"/>
                <w:tab w:val="clear" w:pos="720"/>
                <w:tab w:val="clear" w:pos="1080"/>
              </w:tabs>
              <w:rPr>
                <w:rFonts w:ascii="Calibri" w:hAnsi="Calibri" w:cstheme="majorHAnsi"/>
                <w:lang w:eastAsia="ja-JP"/>
              </w:rPr>
            </w:pPr>
            <w:r w:rsidRPr="00BD5CD2">
              <w:rPr>
                <w:rFonts w:ascii="Calibri" w:hAnsi="Calibri" w:cstheme="majorHAnsi"/>
                <w:lang w:eastAsia="ja-JP"/>
              </w:rPr>
              <w:t>Direct Electricity Price with Thermal Stoves not used</w:t>
            </w:r>
          </w:p>
        </w:tc>
        <w:tc>
          <w:tcPr>
            <w:tcW w:w="2877" w:type="dxa"/>
          </w:tcPr>
          <w:p w14:paraId="470ECEB5" w14:textId="2E73516A" w:rsidR="005939AC" w:rsidRPr="00BD5CD2" w:rsidRDefault="005939AC" w:rsidP="005939AC">
            <w:pPr>
              <w:tabs>
                <w:tab w:val="clear" w:pos="360"/>
                <w:tab w:val="clear" w:pos="720"/>
                <w:tab w:val="clear" w:pos="1080"/>
              </w:tabs>
              <w:rPr>
                <w:rFonts w:ascii="Calibri" w:hAnsi="Calibri" w:cstheme="majorHAnsi"/>
                <w:lang w:eastAsia="ja-JP"/>
              </w:rPr>
            </w:pPr>
            <w:r w:rsidRPr="00BD5CD2">
              <w:rPr>
                <w:rFonts w:ascii="Calibri" w:hAnsi="Calibri" w:cstheme="majorHAnsi"/>
              </w:rPr>
              <w:t>$0.550/kWh</w:t>
            </w:r>
          </w:p>
        </w:tc>
        <w:tc>
          <w:tcPr>
            <w:tcW w:w="2877" w:type="dxa"/>
          </w:tcPr>
          <w:p w14:paraId="1E1CE254" w14:textId="435126ED" w:rsidR="005939AC" w:rsidRPr="00BD5CD2" w:rsidRDefault="005939AC" w:rsidP="005939AC">
            <w:pPr>
              <w:tabs>
                <w:tab w:val="clear" w:pos="360"/>
                <w:tab w:val="clear" w:pos="720"/>
                <w:tab w:val="clear" w:pos="1080"/>
              </w:tabs>
              <w:rPr>
                <w:rFonts w:ascii="Calibri" w:hAnsi="Calibri" w:cstheme="majorHAnsi"/>
                <w:lang w:eastAsia="ja-JP"/>
              </w:rPr>
            </w:pPr>
            <w:r w:rsidRPr="00BD5CD2">
              <w:rPr>
                <w:rFonts w:ascii="Calibri" w:hAnsi="Calibri" w:cstheme="majorHAnsi"/>
              </w:rPr>
              <w:t>$0.697/kWh</w:t>
            </w:r>
          </w:p>
        </w:tc>
      </w:tr>
    </w:tbl>
    <w:p w14:paraId="6AD2D0BD" w14:textId="1D88CEDE" w:rsidR="00F75FE5" w:rsidRDefault="00F75FE5" w:rsidP="00F75FE5">
      <w:pPr>
        <w:spacing w:before="240"/>
      </w:pPr>
      <w:r>
        <w:t xml:space="preserve">The two different prices for the utility provide a price range for the utility because of the uncertainty associated with consumer acceptance of electric thermal stoves.  The thermal stoves breakeven for the consumer if the costs charged to them by the utility for electricity for the stoves is less than $0.20/kWh. In this case, consumers could be charged $0.006/kWh, which reflects the reduction the annualized cost per kWh of the electric thermal stove. </w:t>
      </w:r>
      <w:r w:rsidR="00D26F43">
        <w:t xml:space="preserve">The two different prices for each entity provide the range for the cost to the utility of the extra wind capacity should consumers opt 100% to lease stoves and 100% opt not to lease the stoves. </w:t>
      </w:r>
      <w:r>
        <w:t xml:space="preserve"> The thermal stoves electricity </w:t>
      </w:r>
      <w:r w:rsidR="00F620FC">
        <w:t>cost</w:t>
      </w:r>
      <w:r>
        <w:t xml:space="preserve"> less than the consumers use of heating oil, thus the use of the thermal stoves is cost effective.  However, to the extent that customers are unwilling to use the thermal stoves, the cost of electricity to the village will need to rise to cover the extra renewable energy generation capacity installed only for the use of the thermal stoves.</w:t>
      </w:r>
    </w:p>
    <w:p w14:paraId="30202625" w14:textId="1E5736CB" w:rsidR="00D61AD9" w:rsidRDefault="00F75FE5" w:rsidP="00F75FE5">
      <w:pPr>
        <w:pStyle w:val="BodyText"/>
      </w:pPr>
      <w:r>
        <w:t>The primary non-financial benefits to the community would be reduced diesel fuel consumption which would reduce particulate pollution and improve air quality.  The particulate matter includes ash, carbon, metallic abrasion particles, sulfates and silicates.  The effects of particulate matter exposure include dizziness, headache, and irritation of the eye, nose and throat.  Long-term exposure increases the risk of cardiovascular, cardiopulmonary, lung cancer, and respiratory problem.</w:t>
      </w:r>
      <w:r>
        <w:rPr>
          <w:rStyle w:val="FootnoteReference"/>
        </w:rPr>
        <w:footnoteReference w:id="27"/>
      </w:r>
      <w:r>
        <w:t xml:space="preserve">  An additional benefit is that it reduces the risk of rising electricity prices as diesel fuel prices rise because the village is no long</w:t>
      </w:r>
      <w:r w:rsidR="00F620FC">
        <w:t>er</w:t>
      </w:r>
      <w:r>
        <w:t xml:space="preserve"> so directly dependent on diesel fuel for electricity and home heating.</w:t>
      </w:r>
      <w:r w:rsidRPr="0086594C">
        <w:t xml:space="preserve"> </w:t>
      </w:r>
      <w:r w:rsidR="00D61AD9">
        <w:t xml:space="preserve">  </w:t>
      </w:r>
    </w:p>
    <w:p w14:paraId="162452AA" w14:textId="7DF87ABD" w:rsidR="00D61AD9" w:rsidRPr="00D61AD9" w:rsidRDefault="00D61AD9" w:rsidP="00F75FE5">
      <w:pPr>
        <w:pStyle w:val="BodyText"/>
      </w:pPr>
      <w:r>
        <w:t xml:space="preserve">The Sources and Uses of Funds (Table </w:t>
      </w:r>
      <w:r w:rsidR="0044790B">
        <w:t>8-2</w:t>
      </w:r>
      <w:r>
        <w:t xml:space="preserve">) evaluates the installed cost of capital and the costs of alternative sources of funding. The statement of earnings in Table </w:t>
      </w:r>
      <w:r w:rsidR="0044790B">
        <w:t>8-3</w:t>
      </w:r>
      <w:r>
        <w:t xml:space="preserve"> for the </w:t>
      </w:r>
      <w:r w:rsidR="00C63744">
        <w:t>Shungnak</w:t>
      </w:r>
      <w:r>
        <w:t xml:space="preserve"> utility indicates that operating earnings provide adequate earnings at a 4% weighted average cost of capital to recover the facility costs over time. The cash flow statement (Table </w:t>
      </w:r>
      <w:r w:rsidR="0044790B">
        <w:t>8-4</w:t>
      </w:r>
      <w:r>
        <w:t>) provides the basis for the internal rate of return calculation.</w:t>
      </w:r>
    </w:p>
    <w:p w14:paraId="7CE23BCC" w14:textId="77777777" w:rsidR="009C006E" w:rsidRDefault="009C006E" w:rsidP="00F75FE5">
      <w:pPr>
        <w:tabs>
          <w:tab w:val="clear" w:pos="360"/>
          <w:tab w:val="clear" w:pos="720"/>
          <w:tab w:val="clear" w:pos="1080"/>
        </w:tabs>
        <w:spacing w:before="240"/>
        <w:sectPr w:rsidR="009C006E" w:rsidSect="00DA79BF">
          <w:pgSz w:w="12240" w:h="15840" w:code="1"/>
          <w:pgMar w:top="1440" w:right="1440" w:bottom="1440" w:left="1440" w:header="720" w:footer="720" w:gutter="0"/>
          <w:pgNumType w:start="1" w:chapStyle="1" w:chapSep="period"/>
          <w:cols w:space="720"/>
        </w:sectPr>
      </w:pPr>
    </w:p>
    <w:p w14:paraId="3F2670F7" w14:textId="0136C308" w:rsidR="00EB628B" w:rsidRDefault="00033A7F" w:rsidP="00523721">
      <w:pPr>
        <w:pStyle w:val="Caption"/>
        <w:spacing w:after="240"/>
        <w:rPr>
          <w:b/>
        </w:rPr>
      </w:pPr>
      <w:bookmarkStart w:id="26" w:name="_Toc496624245"/>
      <w:r w:rsidRPr="00033A7F">
        <w:rPr>
          <w:b/>
        </w:rPr>
        <w:lastRenderedPageBreak/>
        <w:t xml:space="preserve">Table </w:t>
      </w:r>
      <w:r>
        <w:rPr>
          <w:b/>
        </w:rPr>
        <w:fldChar w:fldCharType="begin"/>
      </w:r>
      <w:r>
        <w:rPr>
          <w:b/>
        </w:rPr>
        <w:instrText xml:space="preserve"> STYLEREF 1 \s </w:instrText>
      </w:r>
      <w:r>
        <w:rPr>
          <w:b/>
        </w:rPr>
        <w:fldChar w:fldCharType="separate"/>
      </w:r>
      <w:r>
        <w:rPr>
          <w:b/>
          <w:noProof/>
        </w:rPr>
        <w:t>8</w:t>
      </w:r>
      <w:r>
        <w:rPr>
          <w:b/>
        </w:rPr>
        <w:fldChar w:fldCharType="end"/>
      </w:r>
      <w:r>
        <w:rPr>
          <w:b/>
        </w:rPr>
        <w:noBreakHyphen/>
      </w:r>
      <w:r>
        <w:rPr>
          <w:b/>
        </w:rPr>
        <w:fldChar w:fldCharType="begin"/>
      </w:r>
      <w:r>
        <w:rPr>
          <w:b/>
        </w:rPr>
        <w:instrText xml:space="preserve"> SEQ Table \* ARABIC \s 1 </w:instrText>
      </w:r>
      <w:r>
        <w:rPr>
          <w:b/>
        </w:rPr>
        <w:fldChar w:fldCharType="separate"/>
      </w:r>
      <w:r>
        <w:rPr>
          <w:b/>
          <w:noProof/>
        </w:rPr>
        <w:t>2</w:t>
      </w:r>
      <w:r>
        <w:rPr>
          <w:b/>
        </w:rPr>
        <w:fldChar w:fldCharType="end"/>
      </w:r>
      <w:r w:rsidR="009C006E" w:rsidRPr="00033A7F">
        <w:rPr>
          <w:b/>
        </w:rPr>
        <w:t>:</w:t>
      </w:r>
      <w:r w:rsidR="009C006E">
        <w:t xml:space="preserve"> </w:t>
      </w:r>
      <w:r w:rsidR="009C006E" w:rsidRPr="00033A7F">
        <w:t xml:space="preserve">Sources and </w:t>
      </w:r>
      <w:r>
        <w:t>u</w:t>
      </w:r>
      <w:r w:rsidR="009C006E" w:rsidRPr="00033A7F">
        <w:t xml:space="preserve">ses of </w:t>
      </w:r>
      <w:r>
        <w:t>f</w:t>
      </w:r>
      <w:r w:rsidR="009C006E" w:rsidRPr="00033A7F">
        <w:t>unds</w:t>
      </w:r>
      <w:r w:rsidR="00F75FE5">
        <w:rPr>
          <w:b/>
          <w:noProof/>
        </w:rPr>
        <w:drawing>
          <wp:inline distT="0" distB="0" distL="0" distR="0" wp14:anchorId="2B739FBB" wp14:editId="302A62E1">
            <wp:extent cx="8817429" cy="5694012"/>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48335" cy="5713970"/>
                    </a:xfrm>
                    <a:prstGeom prst="rect">
                      <a:avLst/>
                    </a:prstGeom>
                    <a:noFill/>
                  </pic:spPr>
                </pic:pic>
              </a:graphicData>
            </a:graphic>
          </wp:inline>
        </w:drawing>
      </w:r>
      <w:bookmarkEnd w:id="26"/>
    </w:p>
    <w:p w14:paraId="095FD77C" w14:textId="2CE4BA29" w:rsidR="009C006E" w:rsidRDefault="00033A7F" w:rsidP="00523721">
      <w:pPr>
        <w:pStyle w:val="Caption"/>
        <w:spacing w:after="240"/>
      </w:pPr>
      <w:bookmarkStart w:id="27" w:name="_Toc496624246"/>
      <w:r w:rsidRPr="00033A7F">
        <w:rPr>
          <w:b/>
        </w:rPr>
        <w:lastRenderedPageBreak/>
        <w:t xml:space="preserve">Table </w:t>
      </w:r>
      <w:r>
        <w:rPr>
          <w:b/>
        </w:rPr>
        <w:fldChar w:fldCharType="begin"/>
      </w:r>
      <w:r>
        <w:rPr>
          <w:b/>
        </w:rPr>
        <w:instrText xml:space="preserve"> STYLEREF 1 \s </w:instrText>
      </w:r>
      <w:r>
        <w:rPr>
          <w:b/>
        </w:rPr>
        <w:fldChar w:fldCharType="separate"/>
      </w:r>
      <w:r>
        <w:rPr>
          <w:b/>
          <w:noProof/>
        </w:rPr>
        <w:t>8</w:t>
      </w:r>
      <w:r>
        <w:rPr>
          <w:b/>
        </w:rPr>
        <w:fldChar w:fldCharType="end"/>
      </w:r>
      <w:r>
        <w:rPr>
          <w:b/>
        </w:rPr>
        <w:noBreakHyphen/>
      </w:r>
      <w:r>
        <w:rPr>
          <w:b/>
        </w:rPr>
        <w:fldChar w:fldCharType="begin"/>
      </w:r>
      <w:r>
        <w:rPr>
          <w:b/>
        </w:rPr>
        <w:instrText xml:space="preserve"> SEQ Table \* ARABIC \s 1 </w:instrText>
      </w:r>
      <w:r>
        <w:rPr>
          <w:b/>
        </w:rPr>
        <w:fldChar w:fldCharType="separate"/>
      </w:r>
      <w:r>
        <w:rPr>
          <w:b/>
          <w:noProof/>
        </w:rPr>
        <w:t>3</w:t>
      </w:r>
      <w:r>
        <w:rPr>
          <w:b/>
        </w:rPr>
        <w:fldChar w:fldCharType="end"/>
      </w:r>
      <w:r w:rsidR="009C006E" w:rsidRPr="009C006E">
        <w:rPr>
          <w:b/>
        </w:rPr>
        <w:t>:</w:t>
      </w:r>
      <w:r w:rsidR="009C006E">
        <w:t xml:space="preserve"> </w:t>
      </w:r>
      <w:r>
        <w:t>Income statement of p</w:t>
      </w:r>
      <w:r w:rsidR="009C006E" w:rsidRPr="00033A7F">
        <w:t>roject</w:t>
      </w:r>
      <w:bookmarkEnd w:id="27"/>
      <w:r w:rsidR="009C006E">
        <w:t xml:space="preserve"> </w:t>
      </w:r>
    </w:p>
    <w:p w14:paraId="4F1F174C" w14:textId="701924B1" w:rsidR="00497A63" w:rsidRDefault="00F75FE5">
      <w:pPr>
        <w:tabs>
          <w:tab w:val="clear" w:pos="360"/>
          <w:tab w:val="clear" w:pos="720"/>
          <w:tab w:val="clear" w:pos="1080"/>
        </w:tabs>
        <w:rPr>
          <w:rFonts w:ascii="Arial" w:hAnsi="Arial"/>
          <w:b/>
          <w:kern w:val="28"/>
          <w:sz w:val="32"/>
        </w:rPr>
      </w:pPr>
      <w:r>
        <w:rPr>
          <w:noProof/>
        </w:rPr>
        <w:drawing>
          <wp:inline distT="0" distB="0" distL="0" distR="0" wp14:anchorId="3B8583F7" wp14:editId="75D10E29">
            <wp:extent cx="7522845" cy="5248910"/>
            <wp:effectExtent l="0" t="0" r="190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22845" cy="5248910"/>
                    </a:xfrm>
                    <a:prstGeom prst="rect">
                      <a:avLst/>
                    </a:prstGeom>
                    <a:noFill/>
                  </pic:spPr>
                </pic:pic>
              </a:graphicData>
            </a:graphic>
          </wp:inline>
        </w:drawing>
      </w:r>
      <w:r w:rsidR="00497A63">
        <w:br w:type="page"/>
      </w:r>
    </w:p>
    <w:p w14:paraId="04DF0168" w14:textId="289AB785" w:rsidR="009C006E" w:rsidRDefault="009C006E" w:rsidP="00033A7F">
      <w:pPr>
        <w:tabs>
          <w:tab w:val="clear" w:pos="360"/>
          <w:tab w:val="clear" w:pos="720"/>
          <w:tab w:val="clear" w:pos="1080"/>
        </w:tabs>
        <w:jc w:val="center"/>
      </w:pPr>
      <w:r w:rsidRPr="009C006E">
        <w:rPr>
          <w:b/>
        </w:rPr>
        <w:lastRenderedPageBreak/>
        <w:t>Table 8-3:</w:t>
      </w:r>
      <w:r>
        <w:t xml:space="preserve"> Income </w:t>
      </w:r>
      <w:r w:rsidR="00033A7F">
        <w:t>s</w:t>
      </w:r>
      <w:r>
        <w:t xml:space="preserve">tatement of </w:t>
      </w:r>
      <w:r w:rsidR="00033A7F">
        <w:t>p</w:t>
      </w:r>
      <w:r>
        <w:t>roject (cont’d)</w:t>
      </w:r>
    </w:p>
    <w:p w14:paraId="7F8665B8" w14:textId="40C88BF1" w:rsidR="009C006E" w:rsidRDefault="009C006E" w:rsidP="009C006E">
      <w:pPr>
        <w:tabs>
          <w:tab w:val="clear" w:pos="360"/>
          <w:tab w:val="clear" w:pos="720"/>
          <w:tab w:val="clear" w:pos="1080"/>
        </w:tabs>
      </w:pPr>
    </w:p>
    <w:p w14:paraId="43C2B513" w14:textId="24329DA7" w:rsidR="009C006E" w:rsidRDefault="00F75FE5" w:rsidP="00523721">
      <w:pPr>
        <w:pStyle w:val="Caption"/>
        <w:spacing w:after="240"/>
      </w:pPr>
      <w:bookmarkStart w:id="28" w:name="_Toc496624247"/>
      <w:r>
        <w:rPr>
          <w:noProof/>
        </w:rPr>
        <w:drawing>
          <wp:inline distT="0" distB="0" distL="0" distR="0" wp14:anchorId="7FD6085A" wp14:editId="48F96F60">
            <wp:extent cx="6517005" cy="5267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17005" cy="5267325"/>
                    </a:xfrm>
                    <a:prstGeom prst="rect">
                      <a:avLst/>
                    </a:prstGeom>
                    <a:noFill/>
                  </pic:spPr>
                </pic:pic>
              </a:graphicData>
            </a:graphic>
          </wp:inline>
        </w:drawing>
      </w:r>
      <w:r w:rsidR="004E2333">
        <w:br w:type="page"/>
      </w:r>
      <w:r w:rsidR="00033A7F" w:rsidRPr="00033A7F">
        <w:rPr>
          <w:b/>
        </w:rPr>
        <w:lastRenderedPageBreak/>
        <w:t xml:space="preserve">Table </w:t>
      </w:r>
      <w:r w:rsidR="00033A7F" w:rsidRPr="00033A7F">
        <w:rPr>
          <w:b/>
        </w:rPr>
        <w:fldChar w:fldCharType="begin"/>
      </w:r>
      <w:r w:rsidR="00033A7F" w:rsidRPr="00033A7F">
        <w:rPr>
          <w:b/>
        </w:rPr>
        <w:instrText xml:space="preserve"> STYLEREF 1 \s </w:instrText>
      </w:r>
      <w:r w:rsidR="00033A7F" w:rsidRPr="00033A7F">
        <w:rPr>
          <w:b/>
        </w:rPr>
        <w:fldChar w:fldCharType="separate"/>
      </w:r>
      <w:r w:rsidR="00033A7F" w:rsidRPr="00033A7F">
        <w:rPr>
          <w:b/>
          <w:noProof/>
        </w:rPr>
        <w:t>8</w:t>
      </w:r>
      <w:r w:rsidR="00033A7F" w:rsidRPr="00033A7F">
        <w:rPr>
          <w:b/>
        </w:rPr>
        <w:fldChar w:fldCharType="end"/>
      </w:r>
      <w:r w:rsidR="00033A7F" w:rsidRPr="00033A7F">
        <w:rPr>
          <w:b/>
        </w:rPr>
        <w:noBreakHyphen/>
      </w:r>
      <w:r w:rsidR="00033A7F" w:rsidRPr="00033A7F">
        <w:rPr>
          <w:b/>
        </w:rPr>
        <w:fldChar w:fldCharType="begin"/>
      </w:r>
      <w:r w:rsidR="00033A7F" w:rsidRPr="00033A7F">
        <w:rPr>
          <w:b/>
        </w:rPr>
        <w:instrText xml:space="preserve"> SEQ Table \* ARABIC \s 1 </w:instrText>
      </w:r>
      <w:r w:rsidR="00033A7F" w:rsidRPr="00033A7F">
        <w:rPr>
          <w:b/>
        </w:rPr>
        <w:fldChar w:fldCharType="separate"/>
      </w:r>
      <w:r w:rsidR="00033A7F" w:rsidRPr="00033A7F">
        <w:rPr>
          <w:b/>
          <w:noProof/>
        </w:rPr>
        <w:t>4</w:t>
      </w:r>
      <w:r w:rsidR="00033A7F" w:rsidRPr="00033A7F">
        <w:rPr>
          <w:b/>
        </w:rPr>
        <w:fldChar w:fldCharType="end"/>
      </w:r>
      <w:r w:rsidR="009C006E" w:rsidRPr="00033A7F">
        <w:rPr>
          <w:b/>
        </w:rPr>
        <w:t>:</w:t>
      </w:r>
      <w:r w:rsidR="009C006E">
        <w:t xml:space="preserve"> Cash flow statement for project based on 4% rate of internal return</w:t>
      </w:r>
      <w:bookmarkEnd w:id="28"/>
    </w:p>
    <w:p w14:paraId="276FCF62" w14:textId="1302DA06" w:rsidR="009C006E" w:rsidRDefault="00F75FE5">
      <w:pPr>
        <w:tabs>
          <w:tab w:val="clear" w:pos="360"/>
          <w:tab w:val="clear" w:pos="720"/>
          <w:tab w:val="clear" w:pos="1080"/>
        </w:tabs>
      </w:pPr>
      <w:r>
        <w:rPr>
          <w:noProof/>
        </w:rPr>
        <w:drawing>
          <wp:inline distT="0" distB="0" distL="0" distR="0" wp14:anchorId="66D585F5" wp14:editId="7DED487D">
            <wp:extent cx="8150860" cy="47307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50860" cy="4730750"/>
                    </a:xfrm>
                    <a:prstGeom prst="rect">
                      <a:avLst/>
                    </a:prstGeom>
                    <a:noFill/>
                  </pic:spPr>
                </pic:pic>
              </a:graphicData>
            </a:graphic>
          </wp:inline>
        </w:drawing>
      </w:r>
    </w:p>
    <w:p w14:paraId="3593A5C1" w14:textId="77777777" w:rsidR="00F75FE5" w:rsidRDefault="00F75FE5">
      <w:pPr>
        <w:tabs>
          <w:tab w:val="clear" w:pos="360"/>
          <w:tab w:val="clear" w:pos="720"/>
          <w:tab w:val="clear" w:pos="1080"/>
        </w:tabs>
        <w:rPr>
          <w:b/>
        </w:rPr>
      </w:pPr>
      <w:r>
        <w:rPr>
          <w:b/>
        </w:rPr>
        <w:br w:type="page"/>
      </w:r>
    </w:p>
    <w:p w14:paraId="3287C6D8" w14:textId="25151A03" w:rsidR="00C2107A" w:rsidRDefault="009C006E" w:rsidP="00EB628B">
      <w:pPr>
        <w:pStyle w:val="BodyText"/>
        <w:jc w:val="center"/>
      </w:pPr>
      <w:r w:rsidRPr="009C006E">
        <w:rPr>
          <w:b/>
        </w:rPr>
        <w:lastRenderedPageBreak/>
        <w:t>Table 8</w:t>
      </w:r>
      <w:r>
        <w:rPr>
          <w:b/>
        </w:rPr>
        <w:t>-4</w:t>
      </w:r>
      <w:r w:rsidRPr="009C006E">
        <w:rPr>
          <w:b/>
        </w:rPr>
        <w:t>:</w:t>
      </w:r>
      <w:r>
        <w:t xml:space="preserve"> Cash flow statement for project based on 4% rate of internal return</w:t>
      </w:r>
      <w:r w:rsidR="006761C3">
        <w:t xml:space="preserve"> (cont’d)</w:t>
      </w:r>
      <w:bookmarkStart w:id="29" w:name="_Toc126469337"/>
      <w:bookmarkStart w:id="30" w:name="_Toc195079668"/>
      <w:bookmarkEnd w:id="29"/>
      <w:bookmarkEnd w:id="30"/>
    </w:p>
    <w:p w14:paraId="325A9836" w14:textId="029A5550" w:rsidR="00F75FE5" w:rsidRDefault="00F75FE5" w:rsidP="00F75FE5">
      <w:pPr>
        <w:pStyle w:val="BodyText"/>
        <w:rPr>
          <w:color w:val="FFFFFF" w:themeColor="background1"/>
        </w:rPr>
        <w:sectPr w:rsidR="00F75FE5" w:rsidSect="00A36FF6">
          <w:footnotePr>
            <w:numRestart w:val="eachPage"/>
          </w:footnotePr>
          <w:pgSz w:w="15840" w:h="12240" w:orient="landscape" w:code="1"/>
          <w:pgMar w:top="1440" w:right="1440" w:bottom="1440" w:left="1440" w:header="720" w:footer="720" w:gutter="0"/>
          <w:pgNumType w:start="1" w:chapStyle="1" w:chapSep="period"/>
          <w:cols w:space="720"/>
          <w:docGrid w:linePitch="299"/>
        </w:sectPr>
      </w:pPr>
      <w:r>
        <w:rPr>
          <w:noProof/>
          <w:color w:val="FFFFFF" w:themeColor="background1"/>
        </w:rPr>
        <w:drawing>
          <wp:inline distT="0" distB="0" distL="0" distR="0" wp14:anchorId="7C4F7C66" wp14:editId="54C41D06">
            <wp:extent cx="8150860" cy="47307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50860" cy="4730750"/>
                    </a:xfrm>
                    <a:prstGeom prst="rect">
                      <a:avLst/>
                    </a:prstGeom>
                    <a:noFill/>
                  </pic:spPr>
                </pic:pic>
              </a:graphicData>
            </a:graphic>
          </wp:inline>
        </w:drawing>
      </w:r>
    </w:p>
    <w:p w14:paraId="77008F74" w14:textId="11B264AB" w:rsidR="00E12AF4" w:rsidRDefault="00617B34" w:rsidP="00F75FE5">
      <w:pPr>
        <w:pStyle w:val="Heading6"/>
        <w:ind w:left="0"/>
      </w:pPr>
      <w:bookmarkStart w:id="31" w:name="_Toc496624730"/>
      <w:r w:rsidRPr="00F87603">
        <w:rPr>
          <w:color w:val="FFFFFF" w:themeColor="background1"/>
        </w:rPr>
        <w:lastRenderedPageBreak/>
        <w:t>–</w:t>
      </w:r>
      <w:r w:rsidR="00E21FF3" w:rsidRPr="00F87603">
        <w:br/>
      </w:r>
      <w:r w:rsidR="002267D8">
        <w:t>Future Business Case Requirements Outline</w:t>
      </w:r>
      <w:bookmarkEnd w:id="31"/>
    </w:p>
    <w:p w14:paraId="15C42BAC" w14:textId="4462B797" w:rsidR="00802AB2" w:rsidRPr="005A1667" w:rsidRDefault="00802AB2" w:rsidP="00802AB2">
      <w:pPr>
        <w:rPr>
          <w:rFonts w:asciiTheme="minorHAnsi" w:hAnsiTheme="minorHAnsi" w:cstheme="minorHAnsi"/>
          <w:i/>
        </w:rPr>
      </w:pPr>
      <w:r w:rsidRPr="005A1667">
        <w:rPr>
          <w:rFonts w:asciiTheme="minorHAnsi" w:hAnsiTheme="minorHAnsi" w:cstheme="minorHAnsi"/>
          <w:i/>
        </w:rPr>
        <w:t xml:space="preserve">The appendix includes an outline of the information that will be required to evaluate a detailed business case for an actual financing. The most relevant information will include more in-depth estimates of the costs based on the technical analysis of the project reported in the </w:t>
      </w:r>
      <w:r>
        <w:rPr>
          <w:rFonts w:asciiTheme="minorHAnsi" w:hAnsiTheme="minorHAnsi" w:cstheme="minorHAnsi"/>
          <w:i/>
        </w:rPr>
        <w:t>Shungnak</w:t>
      </w:r>
      <w:r w:rsidRPr="005A1667">
        <w:rPr>
          <w:rFonts w:asciiTheme="minorHAnsi" w:hAnsiTheme="minorHAnsi" w:cstheme="minorHAnsi"/>
          <w:i/>
        </w:rPr>
        <w:t xml:space="preserve"> Mini-grid Configuration Options</w:t>
      </w:r>
      <w:r w:rsidRPr="005A1667">
        <w:rPr>
          <w:rStyle w:val="FootnoteReference"/>
          <w:rFonts w:asciiTheme="minorHAnsi" w:hAnsiTheme="minorHAnsi" w:cstheme="minorHAnsi"/>
          <w:i/>
        </w:rPr>
        <w:footnoteReference w:id="28"/>
      </w:r>
      <w:r w:rsidRPr="005A1667">
        <w:rPr>
          <w:rFonts w:asciiTheme="minorHAnsi" w:hAnsiTheme="minorHAnsi" w:cstheme="minorHAnsi"/>
          <w:i/>
        </w:rPr>
        <w:t>. In addition, a more detailed description of the financial analysis will need to be undertaken as more detail gets put together before financing, but after the technical and permitting details are worked out. A more extensive exposition of the risks</w:t>
      </w:r>
      <w:r w:rsidR="00BD5CD2">
        <w:rPr>
          <w:rFonts w:asciiTheme="minorHAnsi" w:hAnsiTheme="minorHAnsi" w:cstheme="minorHAnsi"/>
          <w:i/>
        </w:rPr>
        <w:t xml:space="preserve"> is</w:t>
      </w:r>
      <w:r w:rsidRPr="005A1667">
        <w:rPr>
          <w:rFonts w:asciiTheme="minorHAnsi" w:hAnsiTheme="minorHAnsi" w:cstheme="minorHAnsi"/>
          <w:i/>
        </w:rPr>
        <w:t xml:space="preserve"> involved. The following provides a detailed list of the items that may be required.</w:t>
      </w:r>
    </w:p>
    <w:p w14:paraId="21CC184A" w14:textId="77777777" w:rsidR="00802AB2" w:rsidRPr="005A1667" w:rsidRDefault="00802AB2" w:rsidP="00802AB2">
      <w:pPr>
        <w:rPr>
          <w:rFonts w:asciiTheme="minorHAnsi" w:hAnsiTheme="minorHAnsi" w:cstheme="minorHAnsi"/>
        </w:rPr>
      </w:pPr>
    </w:p>
    <w:p w14:paraId="2DCC8834" w14:textId="77777777" w:rsidR="00802AB2" w:rsidRPr="005A1667" w:rsidRDefault="00802AB2" w:rsidP="00802AB2">
      <w:pPr>
        <w:rPr>
          <w:rFonts w:asciiTheme="minorHAnsi" w:hAnsiTheme="minorHAnsi" w:cstheme="minorHAnsi"/>
          <w:b/>
        </w:rPr>
      </w:pPr>
      <w:r w:rsidRPr="005A1667">
        <w:rPr>
          <w:rFonts w:asciiTheme="minorHAnsi" w:hAnsiTheme="minorHAnsi" w:cstheme="minorHAnsi"/>
          <w:b/>
        </w:rPr>
        <w:t xml:space="preserve">Technical </w:t>
      </w:r>
    </w:p>
    <w:p w14:paraId="1A920B02" w14:textId="58AFEB5A" w:rsidR="00802AB2" w:rsidRPr="005A1667" w:rsidRDefault="00802AB2" w:rsidP="00802AB2">
      <w:pPr>
        <w:rPr>
          <w:rFonts w:asciiTheme="minorHAnsi" w:hAnsiTheme="minorHAnsi" w:cstheme="minorHAnsi"/>
        </w:rPr>
      </w:pPr>
      <w:r w:rsidRPr="005A1667">
        <w:rPr>
          <w:rFonts w:asciiTheme="minorHAnsi" w:hAnsiTheme="minorHAnsi" w:cstheme="minorHAnsi"/>
        </w:rPr>
        <w:t xml:space="preserve">There are several approaches to providing the detail to the business case above. Best practice would be to provide the complete set of alternatives in detail and describe the approach to determining the optimal combination of components. In addition, a detailed description of the components and how the costs were developed for each is delineated. In this case we refer you to the technical analysis of the </w:t>
      </w:r>
      <w:r w:rsidR="00C63744">
        <w:rPr>
          <w:rFonts w:asciiTheme="minorHAnsi" w:hAnsiTheme="minorHAnsi" w:cstheme="minorHAnsi"/>
        </w:rPr>
        <w:t xml:space="preserve">Shungnak </w:t>
      </w:r>
      <w:r w:rsidRPr="005A1667">
        <w:rPr>
          <w:rFonts w:asciiTheme="minorHAnsi" w:hAnsiTheme="minorHAnsi" w:cstheme="minorHAnsi"/>
        </w:rPr>
        <w:t>project.</w:t>
      </w:r>
    </w:p>
    <w:p w14:paraId="6FBD1694" w14:textId="77777777" w:rsidR="00802AB2" w:rsidRPr="005A1667" w:rsidRDefault="00802AB2" w:rsidP="00802AB2">
      <w:pPr>
        <w:rPr>
          <w:rFonts w:asciiTheme="minorHAnsi" w:hAnsiTheme="minorHAnsi" w:cstheme="minorHAnsi"/>
        </w:rPr>
      </w:pPr>
    </w:p>
    <w:p w14:paraId="44181736" w14:textId="77777777" w:rsidR="00802AB2" w:rsidRPr="005A1667" w:rsidRDefault="00802AB2" w:rsidP="00902D26">
      <w:pPr>
        <w:pStyle w:val="ListParagraph"/>
        <w:numPr>
          <w:ilvl w:val="0"/>
          <w:numId w:val="13"/>
        </w:numPr>
        <w:rPr>
          <w:rFonts w:cstheme="minorHAnsi"/>
          <w:sz w:val="22"/>
          <w:szCs w:val="22"/>
        </w:rPr>
      </w:pPr>
      <w:r w:rsidRPr="005A1667">
        <w:rPr>
          <w:rFonts w:cstheme="minorHAnsi"/>
          <w:sz w:val="22"/>
          <w:szCs w:val="22"/>
        </w:rPr>
        <w:t>Methodological Approach</w:t>
      </w:r>
    </w:p>
    <w:p w14:paraId="6B3F5EBD" w14:textId="77777777" w:rsidR="00802AB2" w:rsidRPr="005A1667" w:rsidRDefault="00802AB2" w:rsidP="00902D26">
      <w:pPr>
        <w:pStyle w:val="ListParagraph"/>
        <w:numPr>
          <w:ilvl w:val="0"/>
          <w:numId w:val="13"/>
        </w:numPr>
        <w:rPr>
          <w:rFonts w:cstheme="minorHAnsi"/>
          <w:sz w:val="22"/>
          <w:szCs w:val="22"/>
        </w:rPr>
      </w:pPr>
      <w:r w:rsidRPr="005A1667">
        <w:rPr>
          <w:rFonts w:cstheme="minorHAnsi"/>
          <w:sz w:val="22"/>
          <w:szCs w:val="22"/>
        </w:rPr>
        <w:t>Alternative 1</w:t>
      </w:r>
    </w:p>
    <w:p w14:paraId="7922569E" w14:textId="77777777" w:rsidR="00802AB2" w:rsidRPr="005A1667" w:rsidRDefault="00802AB2" w:rsidP="00902D26">
      <w:pPr>
        <w:pStyle w:val="ListParagraph"/>
        <w:numPr>
          <w:ilvl w:val="1"/>
          <w:numId w:val="13"/>
        </w:numPr>
        <w:rPr>
          <w:rFonts w:cstheme="minorHAnsi"/>
          <w:sz w:val="22"/>
          <w:szCs w:val="22"/>
        </w:rPr>
      </w:pPr>
      <w:r w:rsidRPr="005A1667">
        <w:rPr>
          <w:rFonts w:cstheme="minorHAnsi"/>
          <w:sz w:val="22"/>
          <w:szCs w:val="22"/>
        </w:rPr>
        <w:t>Mini-grid components</w:t>
      </w:r>
    </w:p>
    <w:p w14:paraId="3561E336" w14:textId="77777777" w:rsidR="00802AB2" w:rsidRPr="005A1667" w:rsidRDefault="00802AB2" w:rsidP="00902D26">
      <w:pPr>
        <w:pStyle w:val="ListParagraph"/>
        <w:numPr>
          <w:ilvl w:val="1"/>
          <w:numId w:val="13"/>
        </w:numPr>
        <w:rPr>
          <w:rFonts w:cstheme="minorHAnsi"/>
          <w:sz w:val="22"/>
          <w:szCs w:val="22"/>
        </w:rPr>
      </w:pPr>
      <w:r w:rsidRPr="005A1667">
        <w:rPr>
          <w:rFonts w:cstheme="minorHAnsi"/>
          <w:sz w:val="22"/>
          <w:szCs w:val="22"/>
        </w:rPr>
        <w:t>Schedule with enough detail to describe alternative</w:t>
      </w:r>
    </w:p>
    <w:p w14:paraId="0756532E" w14:textId="77777777" w:rsidR="00802AB2" w:rsidRPr="005A1667" w:rsidRDefault="00802AB2" w:rsidP="00902D26">
      <w:pPr>
        <w:pStyle w:val="ListParagraph"/>
        <w:numPr>
          <w:ilvl w:val="1"/>
          <w:numId w:val="13"/>
        </w:numPr>
        <w:rPr>
          <w:rFonts w:cstheme="minorHAnsi"/>
          <w:sz w:val="22"/>
          <w:szCs w:val="22"/>
        </w:rPr>
      </w:pPr>
      <w:r w:rsidRPr="005A1667">
        <w:rPr>
          <w:rFonts w:cstheme="minorHAnsi"/>
          <w:sz w:val="22"/>
          <w:szCs w:val="22"/>
        </w:rPr>
        <w:t>Costs</w:t>
      </w:r>
    </w:p>
    <w:p w14:paraId="15C1C6E8" w14:textId="77777777" w:rsidR="00802AB2" w:rsidRPr="005A1667" w:rsidRDefault="00802AB2" w:rsidP="00902D26">
      <w:pPr>
        <w:pStyle w:val="ListParagraph"/>
        <w:numPr>
          <w:ilvl w:val="1"/>
          <w:numId w:val="13"/>
        </w:numPr>
        <w:rPr>
          <w:rFonts w:cstheme="minorHAnsi"/>
          <w:sz w:val="22"/>
          <w:szCs w:val="22"/>
        </w:rPr>
      </w:pPr>
      <w:r w:rsidRPr="005A1667">
        <w:rPr>
          <w:rFonts w:cstheme="minorHAnsi"/>
          <w:sz w:val="22"/>
          <w:szCs w:val="22"/>
        </w:rPr>
        <w:t>Benefits</w:t>
      </w:r>
    </w:p>
    <w:p w14:paraId="45F878CA" w14:textId="77777777" w:rsidR="00802AB2" w:rsidRPr="005A1667" w:rsidRDefault="00802AB2" w:rsidP="00902D26">
      <w:pPr>
        <w:pStyle w:val="ListParagraph"/>
        <w:numPr>
          <w:ilvl w:val="1"/>
          <w:numId w:val="13"/>
        </w:numPr>
        <w:rPr>
          <w:rFonts w:cstheme="minorHAnsi"/>
          <w:sz w:val="22"/>
          <w:szCs w:val="22"/>
        </w:rPr>
      </w:pPr>
      <w:r w:rsidRPr="005A1667">
        <w:rPr>
          <w:rFonts w:cstheme="minorHAnsi"/>
          <w:sz w:val="22"/>
          <w:szCs w:val="22"/>
        </w:rPr>
        <w:t>Sensitivity analysis</w:t>
      </w:r>
    </w:p>
    <w:p w14:paraId="683EB44C" w14:textId="77777777" w:rsidR="00802AB2" w:rsidRPr="005A1667" w:rsidRDefault="00802AB2" w:rsidP="00902D26">
      <w:pPr>
        <w:pStyle w:val="ListParagraph"/>
        <w:numPr>
          <w:ilvl w:val="0"/>
          <w:numId w:val="13"/>
        </w:numPr>
        <w:rPr>
          <w:rFonts w:cstheme="minorHAnsi"/>
          <w:sz w:val="22"/>
          <w:szCs w:val="22"/>
        </w:rPr>
      </w:pPr>
      <w:r w:rsidRPr="005A1667">
        <w:rPr>
          <w:rFonts w:cstheme="minorHAnsi"/>
          <w:sz w:val="22"/>
          <w:szCs w:val="22"/>
        </w:rPr>
        <w:t>.....</w:t>
      </w:r>
    </w:p>
    <w:p w14:paraId="4897BC6C" w14:textId="77777777" w:rsidR="00802AB2" w:rsidRPr="005A1667" w:rsidRDefault="00802AB2" w:rsidP="00902D26">
      <w:pPr>
        <w:pStyle w:val="ListParagraph"/>
        <w:numPr>
          <w:ilvl w:val="0"/>
          <w:numId w:val="13"/>
        </w:numPr>
        <w:rPr>
          <w:rFonts w:cstheme="minorHAnsi"/>
          <w:sz w:val="22"/>
          <w:szCs w:val="22"/>
        </w:rPr>
      </w:pPr>
      <w:r w:rsidRPr="005A1667">
        <w:rPr>
          <w:rFonts w:cstheme="minorHAnsi"/>
          <w:sz w:val="22"/>
          <w:szCs w:val="22"/>
        </w:rPr>
        <w:t>Alternative X</w:t>
      </w:r>
    </w:p>
    <w:p w14:paraId="00245BE5" w14:textId="77777777" w:rsidR="00802AB2" w:rsidRPr="005A1667" w:rsidRDefault="00802AB2" w:rsidP="00902D26">
      <w:pPr>
        <w:pStyle w:val="ListParagraph"/>
        <w:numPr>
          <w:ilvl w:val="0"/>
          <w:numId w:val="13"/>
        </w:numPr>
        <w:rPr>
          <w:rFonts w:cstheme="minorHAnsi"/>
          <w:sz w:val="22"/>
          <w:szCs w:val="22"/>
        </w:rPr>
      </w:pPr>
      <w:r w:rsidRPr="005A1667">
        <w:rPr>
          <w:rFonts w:cstheme="minorHAnsi"/>
          <w:sz w:val="22"/>
          <w:szCs w:val="22"/>
        </w:rPr>
        <w:t>Technical Details of Mini-grid</w:t>
      </w:r>
    </w:p>
    <w:p w14:paraId="0DE61FCF" w14:textId="77777777" w:rsidR="00802AB2" w:rsidRPr="005A1667" w:rsidRDefault="00802AB2" w:rsidP="00902D26">
      <w:pPr>
        <w:pStyle w:val="ListParagraph"/>
        <w:numPr>
          <w:ilvl w:val="0"/>
          <w:numId w:val="13"/>
        </w:numPr>
        <w:rPr>
          <w:rFonts w:cstheme="minorHAnsi"/>
          <w:sz w:val="22"/>
          <w:szCs w:val="22"/>
        </w:rPr>
      </w:pPr>
      <w:r w:rsidRPr="005A1667">
        <w:rPr>
          <w:rFonts w:cstheme="minorHAnsi"/>
          <w:sz w:val="22"/>
          <w:szCs w:val="22"/>
        </w:rPr>
        <w:t>Technical Details of Wind installation</w:t>
      </w:r>
    </w:p>
    <w:p w14:paraId="505F03D8" w14:textId="77777777" w:rsidR="00802AB2" w:rsidRPr="005A1667" w:rsidRDefault="00802AB2" w:rsidP="00902D26">
      <w:pPr>
        <w:pStyle w:val="ListParagraph"/>
        <w:numPr>
          <w:ilvl w:val="1"/>
          <w:numId w:val="13"/>
        </w:numPr>
        <w:rPr>
          <w:rFonts w:cstheme="minorHAnsi"/>
          <w:sz w:val="22"/>
          <w:szCs w:val="22"/>
        </w:rPr>
      </w:pPr>
      <w:r w:rsidRPr="005A1667">
        <w:rPr>
          <w:rFonts w:cstheme="minorHAnsi"/>
          <w:sz w:val="22"/>
          <w:szCs w:val="22"/>
        </w:rPr>
        <w:t>Technologies analyzed and rationale for selected technology</w:t>
      </w:r>
    </w:p>
    <w:p w14:paraId="68234DCA" w14:textId="77777777" w:rsidR="00802AB2" w:rsidRPr="005A1667" w:rsidRDefault="00802AB2" w:rsidP="00902D26">
      <w:pPr>
        <w:pStyle w:val="ListParagraph"/>
        <w:numPr>
          <w:ilvl w:val="2"/>
          <w:numId w:val="13"/>
        </w:numPr>
        <w:rPr>
          <w:rFonts w:cstheme="minorHAnsi"/>
          <w:sz w:val="22"/>
          <w:szCs w:val="22"/>
        </w:rPr>
      </w:pPr>
      <w:r w:rsidRPr="005A1667">
        <w:rPr>
          <w:rFonts w:cstheme="minorHAnsi"/>
          <w:sz w:val="22"/>
          <w:szCs w:val="22"/>
        </w:rPr>
        <w:t>Turbine size,</w:t>
      </w:r>
    </w:p>
    <w:p w14:paraId="2D6C2603" w14:textId="77777777" w:rsidR="00802AB2" w:rsidRPr="005A1667" w:rsidRDefault="00802AB2" w:rsidP="00902D26">
      <w:pPr>
        <w:pStyle w:val="ListParagraph"/>
        <w:numPr>
          <w:ilvl w:val="1"/>
          <w:numId w:val="13"/>
        </w:numPr>
        <w:rPr>
          <w:rFonts w:cstheme="minorHAnsi"/>
          <w:sz w:val="22"/>
          <w:szCs w:val="22"/>
        </w:rPr>
      </w:pPr>
      <w:r w:rsidRPr="005A1667">
        <w:rPr>
          <w:rFonts w:cstheme="minorHAnsi"/>
          <w:sz w:val="22"/>
          <w:szCs w:val="22"/>
        </w:rPr>
        <w:t>Wind speeds</w:t>
      </w:r>
    </w:p>
    <w:p w14:paraId="28FAFC96" w14:textId="77777777" w:rsidR="00802AB2" w:rsidRPr="005A1667" w:rsidRDefault="00802AB2" w:rsidP="00902D26">
      <w:pPr>
        <w:pStyle w:val="ListParagraph"/>
        <w:numPr>
          <w:ilvl w:val="2"/>
          <w:numId w:val="13"/>
        </w:numPr>
        <w:rPr>
          <w:rFonts w:cstheme="minorHAnsi"/>
          <w:sz w:val="22"/>
          <w:szCs w:val="22"/>
        </w:rPr>
      </w:pPr>
      <w:r w:rsidRPr="005A1667">
        <w:rPr>
          <w:rFonts w:cstheme="minorHAnsi"/>
          <w:sz w:val="22"/>
          <w:szCs w:val="22"/>
        </w:rPr>
        <w:t>Capacity factors</w:t>
      </w:r>
    </w:p>
    <w:p w14:paraId="3FB8C283" w14:textId="77777777" w:rsidR="00802AB2" w:rsidRPr="005A1667" w:rsidRDefault="00802AB2" w:rsidP="00902D26">
      <w:pPr>
        <w:pStyle w:val="ListParagraph"/>
        <w:numPr>
          <w:ilvl w:val="2"/>
          <w:numId w:val="13"/>
        </w:numPr>
        <w:rPr>
          <w:rFonts w:cstheme="minorHAnsi"/>
          <w:sz w:val="22"/>
          <w:szCs w:val="22"/>
        </w:rPr>
      </w:pPr>
      <w:r w:rsidRPr="005A1667">
        <w:rPr>
          <w:rFonts w:cstheme="minorHAnsi"/>
          <w:sz w:val="22"/>
          <w:szCs w:val="22"/>
        </w:rPr>
        <w:t>Variability</w:t>
      </w:r>
    </w:p>
    <w:p w14:paraId="2E0AE206" w14:textId="77777777" w:rsidR="00802AB2" w:rsidRPr="005A1667" w:rsidRDefault="00802AB2" w:rsidP="00902D26">
      <w:pPr>
        <w:pStyle w:val="ListParagraph"/>
        <w:numPr>
          <w:ilvl w:val="1"/>
          <w:numId w:val="13"/>
        </w:numPr>
        <w:rPr>
          <w:rFonts w:cstheme="minorHAnsi"/>
          <w:sz w:val="22"/>
          <w:szCs w:val="22"/>
        </w:rPr>
      </w:pPr>
      <w:r w:rsidRPr="005A1667">
        <w:rPr>
          <w:rFonts w:cstheme="minorHAnsi"/>
          <w:sz w:val="22"/>
          <w:szCs w:val="22"/>
        </w:rPr>
        <w:t>Construction schedule</w:t>
      </w:r>
    </w:p>
    <w:p w14:paraId="728DD020" w14:textId="77777777" w:rsidR="00802AB2" w:rsidRPr="005A1667" w:rsidRDefault="00802AB2" w:rsidP="00902D26">
      <w:pPr>
        <w:pStyle w:val="ListParagraph"/>
        <w:numPr>
          <w:ilvl w:val="1"/>
          <w:numId w:val="13"/>
        </w:numPr>
        <w:rPr>
          <w:rFonts w:cstheme="minorHAnsi"/>
          <w:sz w:val="22"/>
          <w:szCs w:val="22"/>
        </w:rPr>
      </w:pPr>
      <w:r w:rsidRPr="005A1667">
        <w:rPr>
          <w:rFonts w:cstheme="minorHAnsi"/>
          <w:sz w:val="22"/>
          <w:szCs w:val="22"/>
        </w:rPr>
        <w:t>Permitting issues</w:t>
      </w:r>
    </w:p>
    <w:p w14:paraId="4576548F" w14:textId="77777777" w:rsidR="00802AB2" w:rsidRPr="005A1667" w:rsidRDefault="00802AB2" w:rsidP="00902D26">
      <w:pPr>
        <w:pStyle w:val="ListParagraph"/>
        <w:numPr>
          <w:ilvl w:val="1"/>
          <w:numId w:val="13"/>
        </w:numPr>
        <w:rPr>
          <w:rFonts w:cstheme="minorHAnsi"/>
          <w:sz w:val="22"/>
          <w:szCs w:val="22"/>
        </w:rPr>
      </w:pPr>
      <w:r w:rsidRPr="005A1667">
        <w:rPr>
          <w:rFonts w:cstheme="minorHAnsi"/>
          <w:sz w:val="22"/>
          <w:szCs w:val="22"/>
        </w:rPr>
        <w:t>Impact of location on costs</w:t>
      </w:r>
    </w:p>
    <w:p w14:paraId="6796D261" w14:textId="77777777" w:rsidR="00802AB2" w:rsidRPr="005A1667" w:rsidRDefault="00802AB2" w:rsidP="00902D26">
      <w:pPr>
        <w:pStyle w:val="ListParagraph"/>
        <w:numPr>
          <w:ilvl w:val="1"/>
          <w:numId w:val="13"/>
        </w:numPr>
        <w:rPr>
          <w:rFonts w:cstheme="minorHAnsi"/>
          <w:sz w:val="22"/>
          <w:szCs w:val="22"/>
        </w:rPr>
      </w:pPr>
      <w:r w:rsidRPr="005A1667">
        <w:rPr>
          <w:rFonts w:cstheme="minorHAnsi"/>
          <w:sz w:val="22"/>
          <w:szCs w:val="22"/>
        </w:rPr>
        <w:t>Impact of extreme cold on costs</w:t>
      </w:r>
    </w:p>
    <w:p w14:paraId="2011CAAD" w14:textId="77777777" w:rsidR="00802AB2" w:rsidRPr="005A1667" w:rsidRDefault="00802AB2" w:rsidP="00902D26">
      <w:pPr>
        <w:pStyle w:val="ListParagraph"/>
        <w:numPr>
          <w:ilvl w:val="1"/>
          <w:numId w:val="13"/>
        </w:numPr>
        <w:rPr>
          <w:rFonts w:cstheme="minorHAnsi"/>
          <w:sz w:val="22"/>
          <w:szCs w:val="22"/>
        </w:rPr>
      </w:pPr>
      <w:r w:rsidRPr="005A1667">
        <w:rPr>
          <w:rFonts w:cstheme="minorHAnsi"/>
          <w:sz w:val="22"/>
          <w:szCs w:val="22"/>
        </w:rPr>
        <w:lastRenderedPageBreak/>
        <w:t>Etc</w:t>
      </w:r>
    </w:p>
    <w:p w14:paraId="659916DA" w14:textId="77777777" w:rsidR="00802AB2" w:rsidRPr="005A1667" w:rsidRDefault="00802AB2" w:rsidP="00902D26">
      <w:pPr>
        <w:pStyle w:val="ListParagraph"/>
        <w:numPr>
          <w:ilvl w:val="0"/>
          <w:numId w:val="13"/>
        </w:numPr>
        <w:rPr>
          <w:rFonts w:cstheme="minorHAnsi"/>
          <w:sz w:val="22"/>
          <w:szCs w:val="22"/>
        </w:rPr>
      </w:pPr>
      <w:r w:rsidRPr="005A1667">
        <w:rPr>
          <w:rFonts w:cstheme="minorHAnsi"/>
          <w:sz w:val="22"/>
          <w:szCs w:val="22"/>
        </w:rPr>
        <w:t>Technical Details of PV installation</w:t>
      </w:r>
    </w:p>
    <w:p w14:paraId="3D0E9864" w14:textId="77777777" w:rsidR="00802AB2" w:rsidRPr="005A1667" w:rsidRDefault="00802AB2" w:rsidP="00902D26">
      <w:pPr>
        <w:pStyle w:val="ListParagraph"/>
        <w:numPr>
          <w:ilvl w:val="1"/>
          <w:numId w:val="13"/>
        </w:numPr>
        <w:rPr>
          <w:rFonts w:cstheme="minorHAnsi"/>
          <w:sz w:val="22"/>
          <w:szCs w:val="22"/>
        </w:rPr>
      </w:pPr>
      <w:r w:rsidRPr="005A1667">
        <w:rPr>
          <w:rFonts w:cstheme="minorHAnsi"/>
          <w:sz w:val="22"/>
          <w:szCs w:val="22"/>
        </w:rPr>
        <w:t>Technologies analyzed and rationale for selected technology</w:t>
      </w:r>
    </w:p>
    <w:p w14:paraId="73F8FD15" w14:textId="77777777" w:rsidR="00802AB2" w:rsidRPr="005A1667" w:rsidRDefault="00802AB2" w:rsidP="00902D26">
      <w:pPr>
        <w:pStyle w:val="ListParagraph"/>
        <w:numPr>
          <w:ilvl w:val="2"/>
          <w:numId w:val="13"/>
        </w:numPr>
        <w:rPr>
          <w:rFonts w:cstheme="minorHAnsi"/>
          <w:sz w:val="22"/>
          <w:szCs w:val="22"/>
        </w:rPr>
      </w:pPr>
      <w:r w:rsidRPr="005A1667">
        <w:rPr>
          <w:rFonts w:cstheme="minorHAnsi"/>
          <w:sz w:val="22"/>
          <w:szCs w:val="22"/>
        </w:rPr>
        <w:t>Installation size,</w:t>
      </w:r>
    </w:p>
    <w:p w14:paraId="3211F6C8" w14:textId="77777777" w:rsidR="00802AB2" w:rsidRPr="005A1667" w:rsidRDefault="00802AB2" w:rsidP="00902D26">
      <w:pPr>
        <w:pStyle w:val="ListParagraph"/>
        <w:numPr>
          <w:ilvl w:val="1"/>
          <w:numId w:val="13"/>
        </w:numPr>
        <w:rPr>
          <w:rFonts w:cstheme="minorHAnsi"/>
          <w:sz w:val="22"/>
          <w:szCs w:val="22"/>
        </w:rPr>
      </w:pPr>
      <w:r w:rsidRPr="005A1667">
        <w:rPr>
          <w:rFonts w:cstheme="minorHAnsi"/>
          <w:sz w:val="22"/>
          <w:szCs w:val="22"/>
        </w:rPr>
        <w:t>Insolation</w:t>
      </w:r>
    </w:p>
    <w:p w14:paraId="76351CB6" w14:textId="77777777" w:rsidR="00802AB2" w:rsidRPr="005A1667" w:rsidRDefault="00802AB2" w:rsidP="00902D26">
      <w:pPr>
        <w:pStyle w:val="ListParagraph"/>
        <w:numPr>
          <w:ilvl w:val="2"/>
          <w:numId w:val="13"/>
        </w:numPr>
        <w:rPr>
          <w:rFonts w:cstheme="minorHAnsi"/>
          <w:sz w:val="22"/>
          <w:szCs w:val="22"/>
        </w:rPr>
      </w:pPr>
      <w:r w:rsidRPr="005A1667">
        <w:rPr>
          <w:rFonts w:cstheme="minorHAnsi"/>
          <w:sz w:val="22"/>
          <w:szCs w:val="22"/>
        </w:rPr>
        <w:t>Capacity factors</w:t>
      </w:r>
    </w:p>
    <w:p w14:paraId="6E9B6BF3" w14:textId="77777777" w:rsidR="00802AB2" w:rsidRPr="005A1667" w:rsidRDefault="00802AB2" w:rsidP="00902D26">
      <w:pPr>
        <w:pStyle w:val="ListParagraph"/>
        <w:numPr>
          <w:ilvl w:val="2"/>
          <w:numId w:val="13"/>
        </w:numPr>
        <w:rPr>
          <w:rFonts w:cstheme="minorHAnsi"/>
          <w:sz w:val="22"/>
          <w:szCs w:val="22"/>
        </w:rPr>
      </w:pPr>
      <w:r w:rsidRPr="005A1667">
        <w:rPr>
          <w:rFonts w:cstheme="minorHAnsi"/>
          <w:sz w:val="22"/>
          <w:szCs w:val="22"/>
        </w:rPr>
        <w:t>Variability</w:t>
      </w:r>
    </w:p>
    <w:p w14:paraId="5B89309A" w14:textId="77777777" w:rsidR="00802AB2" w:rsidRPr="005A1667" w:rsidRDefault="00802AB2" w:rsidP="00902D26">
      <w:pPr>
        <w:pStyle w:val="ListParagraph"/>
        <w:numPr>
          <w:ilvl w:val="1"/>
          <w:numId w:val="13"/>
        </w:numPr>
        <w:rPr>
          <w:rFonts w:cstheme="minorHAnsi"/>
          <w:sz w:val="22"/>
          <w:szCs w:val="22"/>
        </w:rPr>
      </w:pPr>
      <w:r w:rsidRPr="005A1667">
        <w:rPr>
          <w:rFonts w:cstheme="minorHAnsi"/>
          <w:sz w:val="22"/>
          <w:szCs w:val="22"/>
        </w:rPr>
        <w:t>Construction schedule</w:t>
      </w:r>
    </w:p>
    <w:p w14:paraId="391A705E" w14:textId="77777777" w:rsidR="00802AB2" w:rsidRPr="005A1667" w:rsidRDefault="00802AB2" w:rsidP="00902D26">
      <w:pPr>
        <w:pStyle w:val="ListParagraph"/>
        <w:numPr>
          <w:ilvl w:val="1"/>
          <w:numId w:val="13"/>
        </w:numPr>
        <w:rPr>
          <w:rFonts w:cstheme="minorHAnsi"/>
          <w:sz w:val="22"/>
          <w:szCs w:val="22"/>
        </w:rPr>
      </w:pPr>
      <w:r w:rsidRPr="005A1667">
        <w:rPr>
          <w:rFonts w:cstheme="minorHAnsi"/>
          <w:sz w:val="22"/>
          <w:szCs w:val="22"/>
        </w:rPr>
        <w:t>Permitting issues</w:t>
      </w:r>
    </w:p>
    <w:p w14:paraId="4655999E" w14:textId="77777777" w:rsidR="00802AB2" w:rsidRPr="005A1667" w:rsidRDefault="00802AB2" w:rsidP="00902D26">
      <w:pPr>
        <w:pStyle w:val="ListParagraph"/>
        <w:numPr>
          <w:ilvl w:val="1"/>
          <w:numId w:val="13"/>
        </w:numPr>
        <w:rPr>
          <w:rFonts w:cstheme="minorHAnsi"/>
          <w:sz w:val="22"/>
          <w:szCs w:val="22"/>
        </w:rPr>
      </w:pPr>
      <w:r w:rsidRPr="005A1667">
        <w:rPr>
          <w:rFonts w:cstheme="minorHAnsi"/>
          <w:sz w:val="22"/>
          <w:szCs w:val="22"/>
        </w:rPr>
        <w:t>Impact of location on costs</w:t>
      </w:r>
    </w:p>
    <w:p w14:paraId="5CF32993" w14:textId="77777777" w:rsidR="00802AB2" w:rsidRPr="005A1667" w:rsidRDefault="00802AB2" w:rsidP="00902D26">
      <w:pPr>
        <w:pStyle w:val="ListParagraph"/>
        <w:numPr>
          <w:ilvl w:val="1"/>
          <w:numId w:val="13"/>
        </w:numPr>
        <w:rPr>
          <w:rFonts w:cstheme="minorHAnsi"/>
          <w:sz w:val="22"/>
          <w:szCs w:val="22"/>
        </w:rPr>
      </w:pPr>
      <w:r w:rsidRPr="005A1667">
        <w:rPr>
          <w:rFonts w:cstheme="minorHAnsi"/>
          <w:sz w:val="22"/>
          <w:szCs w:val="22"/>
        </w:rPr>
        <w:t>Impact of extreme cold on costs</w:t>
      </w:r>
    </w:p>
    <w:p w14:paraId="778ECACF" w14:textId="77777777" w:rsidR="00802AB2" w:rsidRPr="005A1667" w:rsidRDefault="00802AB2" w:rsidP="00902D26">
      <w:pPr>
        <w:pStyle w:val="ListParagraph"/>
        <w:numPr>
          <w:ilvl w:val="1"/>
          <w:numId w:val="13"/>
        </w:numPr>
        <w:rPr>
          <w:rFonts w:cstheme="minorHAnsi"/>
          <w:sz w:val="22"/>
          <w:szCs w:val="22"/>
        </w:rPr>
      </w:pPr>
      <w:r w:rsidRPr="005A1667">
        <w:rPr>
          <w:rFonts w:cstheme="minorHAnsi"/>
          <w:sz w:val="22"/>
          <w:szCs w:val="22"/>
        </w:rPr>
        <w:t>Etc</w:t>
      </w:r>
    </w:p>
    <w:p w14:paraId="3C07624F" w14:textId="77777777" w:rsidR="00802AB2" w:rsidRPr="005A1667" w:rsidRDefault="00802AB2" w:rsidP="00902D26">
      <w:pPr>
        <w:pStyle w:val="ListParagraph"/>
        <w:numPr>
          <w:ilvl w:val="0"/>
          <w:numId w:val="13"/>
        </w:numPr>
        <w:rPr>
          <w:rFonts w:cstheme="minorHAnsi"/>
          <w:sz w:val="22"/>
          <w:szCs w:val="22"/>
        </w:rPr>
      </w:pPr>
      <w:r w:rsidRPr="005A1667">
        <w:rPr>
          <w:rFonts w:cstheme="minorHAnsi"/>
          <w:sz w:val="22"/>
          <w:szCs w:val="22"/>
        </w:rPr>
        <w:t>Technical Details of Battery installation</w:t>
      </w:r>
    </w:p>
    <w:p w14:paraId="025334F7" w14:textId="77777777" w:rsidR="00802AB2" w:rsidRPr="005A1667" w:rsidRDefault="00802AB2" w:rsidP="00902D26">
      <w:pPr>
        <w:pStyle w:val="ListParagraph"/>
        <w:numPr>
          <w:ilvl w:val="1"/>
          <w:numId w:val="13"/>
        </w:numPr>
        <w:rPr>
          <w:rFonts w:cstheme="minorHAnsi"/>
          <w:sz w:val="22"/>
          <w:szCs w:val="22"/>
        </w:rPr>
      </w:pPr>
      <w:r w:rsidRPr="005A1667">
        <w:rPr>
          <w:rFonts w:cstheme="minorHAnsi"/>
          <w:sz w:val="22"/>
          <w:szCs w:val="22"/>
        </w:rPr>
        <w:t>Technologies analyzed and rationale for selected technology</w:t>
      </w:r>
    </w:p>
    <w:p w14:paraId="4D23870D" w14:textId="77777777" w:rsidR="00802AB2" w:rsidRPr="005A1667" w:rsidRDefault="00802AB2" w:rsidP="00902D26">
      <w:pPr>
        <w:pStyle w:val="ListParagraph"/>
        <w:numPr>
          <w:ilvl w:val="2"/>
          <w:numId w:val="13"/>
        </w:numPr>
        <w:rPr>
          <w:rFonts w:cstheme="minorHAnsi"/>
          <w:sz w:val="22"/>
          <w:szCs w:val="22"/>
        </w:rPr>
      </w:pPr>
      <w:r w:rsidRPr="005A1667">
        <w:rPr>
          <w:rFonts w:cstheme="minorHAnsi"/>
          <w:sz w:val="22"/>
          <w:szCs w:val="22"/>
        </w:rPr>
        <w:t>Installation size, kW and kWh</w:t>
      </w:r>
    </w:p>
    <w:p w14:paraId="6700D4B7" w14:textId="77777777" w:rsidR="00802AB2" w:rsidRPr="005A1667" w:rsidRDefault="00802AB2" w:rsidP="00902D26">
      <w:pPr>
        <w:pStyle w:val="ListParagraph"/>
        <w:numPr>
          <w:ilvl w:val="1"/>
          <w:numId w:val="13"/>
        </w:numPr>
        <w:rPr>
          <w:rFonts w:cstheme="minorHAnsi"/>
          <w:sz w:val="22"/>
          <w:szCs w:val="22"/>
        </w:rPr>
      </w:pPr>
      <w:r w:rsidRPr="005A1667">
        <w:rPr>
          <w:rFonts w:cstheme="minorHAnsi"/>
          <w:sz w:val="22"/>
          <w:szCs w:val="22"/>
        </w:rPr>
        <w:t>Round trip efficiency</w:t>
      </w:r>
    </w:p>
    <w:p w14:paraId="25ED5CE7" w14:textId="77777777" w:rsidR="00802AB2" w:rsidRPr="005A1667" w:rsidRDefault="00802AB2" w:rsidP="00902D26">
      <w:pPr>
        <w:pStyle w:val="ListParagraph"/>
        <w:numPr>
          <w:ilvl w:val="1"/>
          <w:numId w:val="13"/>
        </w:numPr>
        <w:rPr>
          <w:rFonts w:cstheme="minorHAnsi"/>
          <w:sz w:val="22"/>
          <w:szCs w:val="22"/>
        </w:rPr>
      </w:pPr>
      <w:r w:rsidRPr="005A1667">
        <w:rPr>
          <w:rFonts w:cstheme="minorHAnsi"/>
          <w:sz w:val="22"/>
          <w:szCs w:val="22"/>
        </w:rPr>
        <w:t>Impact of location on costs</w:t>
      </w:r>
    </w:p>
    <w:p w14:paraId="1E11DD64" w14:textId="6B4D95B4" w:rsidR="00802AB2" w:rsidRPr="005A1667" w:rsidRDefault="00C63744" w:rsidP="00902D26">
      <w:pPr>
        <w:pStyle w:val="ListParagraph"/>
        <w:numPr>
          <w:ilvl w:val="1"/>
          <w:numId w:val="13"/>
        </w:numPr>
        <w:rPr>
          <w:rFonts w:cstheme="minorHAnsi"/>
          <w:sz w:val="22"/>
          <w:szCs w:val="22"/>
        </w:rPr>
      </w:pPr>
      <w:r>
        <w:rPr>
          <w:rFonts w:cstheme="minorHAnsi"/>
          <w:sz w:val="22"/>
          <w:szCs w:val="22"/>
        </w:rPr>
        <w:t xml:space="preserve">Impact of extreme cold </w:t>
      </w:r>
      <w:r w:rsidR="00802AB2" w:rsidRPr="005A1667">
        <w:rPr>
          <w:rFonts w:cstheme="minorHAnsi"/>
          <w:sz w:val="22"/>
          <w:szCs w:val="22"/>
        </w:rPr>
        <w:t>on costs</w:t>
      </w:r>
    </w:p>
    <w:p w14:paraId="2E670624" w14:textId="77777777" w:rsidR="00802AB2" w:rsidRPr="005A1667" w:rsidRDefault="00802AB2" w:rsidP="00902D26">
      <w:pPr>
        <w:pStyle w:val="ListParagraph"/>
        <w:numPr>
          <w:ilvl w:val="1"/>
          <w:numId w:val="13"/>
        </w:numPr>
        <w:rPr>
          <w:rFonts w:cstheme="minorHAnsi"/>
          <w:sz w:val="22"/>
          <w:szCs w:val="22"/>
        </w:rPr>
      </w:pPr>
      <w:r w:rsidRPr="005A1667">
        <w:rPr>
          <w:rFonts w:cstheme="minorHAnsi"/>
          <w:sz w:val="22"/>
          <w:szCs w:val="22"/>
        </w:rPr>
        <w:t>Etc</w:t>
      </w:r>
    </w:p>
    <w:p w14:paraId="4163717D" w14:textId="77777777" w:rsidR="00802AB2" w:rsidRPr="005A1667" w:rsidRDefault="00802AB2" w:rsidP="00902D26">
      <w:pPr>
        <w:pStyle w:val="ListParagraph"/>
        <w:numPr>
          <w:ilvl w:val="0"/>
          <w:numId w:val="13"/>
        </w:numPr>
        <w:rPr>
          <w:rFonts w:cstheme="minorHAnsi"/>
          <w:sz w:val="22"/>
          <w:szCs w:val="22"/>
        </w:rPr>
      </w:pPr>
      <w:r w:rsidRPr="005A1667">
        <w:rPr>
          <w:rFonts w:cstheme="minorHAnsi"/>
          <w:sz w:val="22"/>
          <w:szCs w:val="22"/>
        </w:rPr>
        <w:t>Integration components and details</w:t>
      </w:r>
    </w:p>
    <w:p w14:paraId="1F059D28" w14:textId="77777777" w:rsidR="00802AB2" w:rsidRPr="005A1667" w:rsidRDefault="00802AB2" w:rsidP="00902D26">
      <w:pPr>
        <w:pStyle w:val="ListParagraph"/>
        <w:numPr>
          <w:ilvl w:val="1"/>
          <w:numId w:val="13"/>
        </w:numPr>
        <w:rPr>
          <w:rFonts w:cstheme="minorHAnsi"/>
          <w:sz w:val="22"/>
          <w:szCs w:val="22"/>
        </w:rPr>
      </w:pPr>
      <w:r w:rsidRPr="005A1667">
        <w:rPr>
          <w:rFonts w:cstheme="minorHAnsi"/>
          <w:sz w:val="22"/>
          <w:szCs w:val="22"/>
        </w:rPr>
        <w:t>Technologies analyzed and rationale for selected technologies for each component</w:t>
      </w:r>
    </w:p>
    <w:p w14:paraId="356ACBB8" w14:textId="77777777" w:rsidR="00802AB2" w:rsidRPr="005A1667" w:rsidRDefault="00802AB2" w:rsidP="00902D26">
      <w:pPr>
        <w:pStyle w:val="ListParagraph"/>
        <w:numPr>
          <w:ilvl w:val="1"/>
          <w:numId w:val="13"/>
        </w:numPr>
        <w:rPr>
          <w:rFonts w:cstheme="minorHAnsi"/>
          <w:sz w:val="22"/>
          <w:szCs w:val="22"/>
        </w:rPr>
      </w:pPr>
      <w:r w:rsidRPr="005A1667">
        <w:rPr>
          <w:rFonts w:cstheme="minorHAnsi"/>
          <w:sz w:val="22"/>
          <w:szCs w:val="22"/>
        </w:rPr>
        <w:t>Impact of location on costs</w:t>
      </w:r>
    </w:p>
    <w:p w14:paraId="5D16108F" w14:textId="1805FC5A" w:rsidR="00802AB2" w:rsidRPr="005A1667" w:rsidRDefault="00C63744" w:rsidP="00902D26">
      <w:pPr>
        <w:pStyle w:val="ListParagraph"/>
        <w:numPr>
          <w:ilvl w:val="1"/>
          <w:numId w:val="13"/>
        </w:numPr>
        <w:rPr>
          <w:rFonts w:cstheme="minorHAnsi"/>
          <w:sz w:val="22"/>
          <w:szCs w:val="22"/>
        </w:rPr>
      </w:pPr>
      <w:r>
        <w:rPr>
          <w:rFonts w:cstheme="minorHAnsi"/>
          <w:sz w:val="22"/>
          <w:szCs w:val="22"/>
        </w:rPr>
        <w:t xml:space="preserve">Impact of extreme cold  </w:t>
      </w:r>
      <w:r w:rsidR="00802AB2" w:rsidRPr="005A1667">
        <w:rPr>
          <w:rFonts w:cstheme="minorHAnsi"/>
          <w:sz w:val="22"/>
          <w:szCs w:val="22"/>
        </w:rPr>
        <w:t>n costs</w:t>
      </w:r>
    </w:p>
    <w:p w14:paraId="32861910" w14:textId="77777777" w:rsidR="00802AB2" w:rsidRPr="005A1667" w:rsidRDefault="00802AB2" w:rsidP="00902D26">
      <w:pPr>
        <w:pStyle w:val="ListParagraph"/>
        <w:numPr>
          <w:ilvl w:val="1"/>
          <w:numId w:val="13"/>
        </w:numPr>
        <w:rPr>
          <w:rFonts w:cstheme="minorHAnsi"/>
          <w:sz w:val="22"/>
          <w:szCs w:val="22"/>
        </w:rPr>
      </w:pPr>
      <w:r w:rsidRPr="005A1667">
        <w:rPr>
          <w:rFonts w:cstheme="minorHAnsi"/>
          <w:sz w:val="22"/>
          <w:szCs w:val="22"/>
        </w:rPr>
        <w:t>Etc</w:t>
      </w:r>
    </w:p>
    <w:p w14:paraId="5D7C4FDB" w14:textId="77777777" w:rsidR="00802AB2" w:rsidRPr="005A1667" w:rsidRDefault="00802AB2" w:rsidP="00802AB2">
      <w:pPr>
        <w:rPr>
          <w:rFonts w:asciiTheme="minorHAnsi" w:hAnsiTheme="minorHAnsi" w:cstheme="minorHAnsi"/>
        </w:rPr>
      </w:pPr>
    </w:p>
    <w:p w14:paraId="0510649F" w14:textId="77777777" w:rsidR="00802AB2" w:rsidRPr="005A1667" w:rsidRDefault="00802AB2" w:rsidP="00802AB2">
      <w:pPr>
        <w:rPr>
          <w:rFonts w:asciiTheme="minorHAnsi" w:hAnsiTheme="minorHAnsi" w:cstheme="minorHAnsi"/>
          <w:b/>
        </w:rPr>
      </w:pPr>
      <w:r w:rsidRPr="005A1667">
        <w:rPr>
          <w:rFonts w:asciiTheme="minorHAnsi" w:hAnsiTheme="minorHAnsi" w:cstheme="minorHAnsi"/>
          <w:b/>
        </w:rPr>
        <w:t>Permitting</w:t>
      </w:r>
    </w:p>
    <w:p w14:paraId="60F0D5FE" w14:textId="77777777" w:rsidR="00802AB2" w:rsidRPr="005A1667" w:rsidRDefault="00802AB2" w:rsidP="00802AB2">
      <w:pPr>
        <w:rPr>
          <w:rFonts w:asciiTheme="minorHAnsi" w:hAnsiTheme="minorHAnsi" w:cstheme="minorHAnsi"/>
        </w:rPr>
      </w:pPr>
      <w:r w:rsidRPr="005A1667">
        <w:rPr>
          <w:rFonts w:asciiTheme="minorHAnsi" w:hAnsiTheme="minorHAnsi" w:cstheme="minorHAnsi"/>
        </w:rPr>
        <w:t>The section should include all the permits that need to be obtained and the steps, time and cost required to obtain the permits:</w:t>
      </w:r>
    </w:p>
    <w:p w14:paraId="124E4DE3" w14:textId="77777777" w:rsidR="00802AB2" w:rsidRPr="005A1667" w:rsidRDefault="00802AB2" w:rsidP="00902D26">
      <w:pPr>
        <w:pStyle w:val="ListParagraph"/>
        <w:numPr>
          <w:ilvl w:val="0"/>
          <w:numId w:val="12"/>
        </w:numPr>
        <w:rPr>
          <w:rFonts w:cstheme="minorHAnsi"/>
          <w:b/>
          <w:sz w:val="22"/>
          <w:szCs w:val="22"/>
        </w:rPr>
      </w:pPr>
      <w:r w:rsidRPr="005A1667">
        <w:rPr>
          <w:rFonts w:cstheme="minorHAnsi"/>
          <w:sz w:val="22"/>
          <w:szCs w:val="22"/>
        </w:rPr>
        <w:t>Building permits</w:t>
      </w:r>
    </w:p>
    <w:p w14:paraId="610EC46C" w14:textId="77777777" w:rsidR="00802AB2" w:rsidRPr="005A1667" w:rsidRDefault="00802AB2" w:rsidP="00902D26">
      <w:pPr>
        <w:pStyle w:val="ListParagraph"/>
        <w:numPr>
          <w:ilvl w:val="0"/>
          <w:numId w:val="12"/>
        </w:numPr>
        <w:rPr>
          <w:rFonts w:cstheme="minorHAnsi"/>
          <w:b/>
          <w:sz w:val="22"/>
          <w:szCs w:val="22"/>
        </w:rPr>
      </w:pPr>
      <w:r w:rsidRPr="005A1667">
        <w:rPr>
          <w:rFonts w:cstheme="minorHAnsi"/>
          <w:sz w:val="22"/>
          <w:szCs w:val="22"/>
        </w:rPr>
        <w:t>Environmental permits</w:t>
      </w:r>
    </w:p>
    <w:p w14:paraId="0E923D9A" w14:textId="77777777" w:rsidR="00802AB2" w:rsidRPr="005A1667" w:rsidRDefault="00802AB2" w:rsidP="00902D26">
      <w:pPr>
        <w:pStyle w:val="ListParagraph"/>
        <w:numPr>
          <w:ilvl w:val="0"/>
          <w:numId w:val="12"/>
        </w:numPr>
        <w:rPr>
          <w:rFonts w:cstheme="minorHAnsi"/>
          <w:b/>
          <w:sz w:val="22"/>
          <w:szCs w:val="22"/>
        </w:rPr>
      </w:pPr>
      <w:r w:rsidRPr="005A1667">
        <w:rPr>
          <w:rFonts w:cstheme="minorHAnsi"/>
          <w:sz w:val="22"/>
          <w:szCs w:val="22"/>
        </w:rPr>
        <w:t>Other</w:t>
      </w:r>
    </w:p>
    <w:p w14:paraId="1B51F2AC" w14:textId="77777777" w:rsidR="00802AB2" w:rsidRPr="005A1667" w:rsidRDefault="00802AB2" w:rsidP="00802AB2">
      <w:pPr>
        <w:rPr>
          <w:rFonts w:asciiTheme="minorHAnsi" w:hAnsiTheme="minorHAnsi" w:cstheme="minorHAnsi"/>
          <w:b/>
        </w:rPr>
      </w:pPr>
    </w:p>
    <w:p w14:paraId="31D76D07" w14:textId="77777777" w:rsidR="00802AB2" w:rsidRPr="005A1667" w:rsidRDefault="00802AB2" w:rsidP="00802AB2">
      <w:pPr>
        <w:rPr>
          <w:rFonts w:asciiTheme="minorHAnsi" w:hAnsiTheme="minorHAnsi" w:cstheme="minorHAnsi"/>
          <w:b/>
        </w:rPr>
      </w:pPr>
      <w:r w:rsidRPr="005A1667">
        <w:rPr>
          <w:rFonts w:asciiTheme="minorHAnsi" w:hAnsiTheme="minorHAnsi" w:cstheme="minorHAnsi"/>
          <w:b/>
        </w:rPr>
        <w:t>Financial</w:t>
      </w:r>
    </w:p>
    <w:p w14:paraId="307E7664" w14:textId="77777777" w:rsidR="00802AB2" w:rsidRPr="005A1667" w:rsidRDefault="00802AB2" w:rsidP="00802AB2">
      <w:pPr>
        <w:rPr>
          <w:rFonts w:asciiTheme="minorHAnsi" w:hAnsiTheme="minorHAnsi" w:cstheme="minorHAnsi"/>
        </w:rPr>
      </w:pPr>
      <w:r w:rsidRPr="005A1667">
        <w:rPr>
          <w:rFonts w:asciiTheme="minorHAnsi" w:hAnsiTheme="minorHAnsi" w:cstheme="minorHAnsi"/>
        </w:rPr>
        <w:t>The financial section should include the detailed information that was used to analyze the financial aspects of each alternative and the types of financing analyzed.  The section should include the assumptions used to analyze each of the alternatives and there sources.  The approach should be discussed including a discussion of the pro forma used to analyze the alternatives.  A spreadsheet model would accompany the written documentation to illustrate the quantitative metrics of each alternative considered. The list includes:</w:t>
      </w:r>
    </w:p>
    <w:p w14:paraId="7E90B3CA" w14:textId="77777777" w:rsidR="00802AB2" w:rsidRPr="005A1667" w:rsidRDefault="00802AB2" w:rsidP="00902D26">
      <w:pPr>
        <w:pStyle w:val="ListParagraph"/>
        <w:numPr>
          <w:ilvl w:val="0"/>
          <w:numId w:val="10"/>
        </w:numPr>
        <w:rPr>
          <w:rFonts w:cstheme="minorHAnsi"/>
          <w:sz w:val="22"/>
          <w:szCs w:val="22"/>
        </w:rPr>
      </w:pPr>
      <w:r w:rsidRPr="005A1667">
        <w:rPr>
          <w:rFonts w:cstheme="minorHAnsi"/>
          <w:sz w:val="22"/>
          <w:szCs w:val="22"/>
        </w:rPr>
        <w:t>Installed costs ($/kW, $/kWh) of alternatives by component system costs</w:t>
      </w:r>
    </w:p>
    <w:p w14:paraId="104E47F1" w14:textId="77777777" w:rsidR="00802AB2" w:rsidRPr="005A1667" w:rsidRDefault="00802AB2" w:rsidP="00902D26">
      <w:pPr>
        <w:pStyle w:val="ListParagraph"/>
        <w:numPr>
          <w:ilvl w:val="1"/>
          <w:numId w:val="10"/>
        </w:numPr>
        <w:rPr>
          <w:rFonts w:cstheme="minorHAnsi"/>
          <w:sz w:val="22"/>
          <w:szCs w:val="22"/>
        </w:rPr>
      </w:pPr>
      <w:r w:rsidRPr="005A1667">
        <w:rPr>
          <w:rFonts w:cstheme="minorHAnsi"/>
          <w:sz w:val="22"/>
          <w:szCs w:val="22"/>
        </w:rPr>
        <w:t>Wind</w:t>
      </w:r>
    </w:p>
    <w:p w14:paraId="262AB042" w14:textId="77777777" w:rsidR="00802AB2" w:rsidRPr="005A1667" w:rsidRDefault="00802AB2" w:rsidP="00902D26">
      <w:pPr>
        <w:pStyle w:val="ListParagraph"/>
        <w:numPr>
          <w:ilvl w:val="1"/>
          <w:numId w:val="10"/>
        </w:numPr>
        <w:rPr>
          <w:rFonts w:cstheme="minorHAnsi"/>
          <w:sz w:val="22"/>
          <w:szCs w:val="22"/>
        </w:rPr>
      </w:pPr>
      <w:r w:rsidRPr="005A1667">
        <w:rPr>
          <w:rFonts w:cstheme="minorHAnsi"/>
          <w:sz w:val="22"/>
          <w:szCs w:val="22"/>
        </w:rPr>
        <w:t>Solar</w:t>
      </w:r>
    </w:p>
    <w:p w14:paraId="4EB8A74C" w14:textId="77777777" w:rsidR="00802AB2" w:rsidRPr="005A1667" w:rsidRDefault="00802AB2" w:rsidP="00902D26">
      <w:pPr>
        <w:pStyle w:val="ListParagraph"/>
        <w:numPr>
          <w:ilvl w:val="1"/>
          <w:numId w:val="10"/>
        </w:numPr>
        <w:rPr>
          <w:rFonts w:cstheme="minorHAnsi"/>
          <w:sz w:val="22"/>
          <w:szCs w:val="22"/>
        </w:rPr>
      </w:pPr>
      <w:r w:rsidRPr="005A1667">
        <w:rPr>
          <w:rFonts w:cstheme="minorHAnsi"/>
          <w:sz w:val="22"/>
          <w:szCs w:val="22"/>
        </w:rPr>
        <w:t>Battery</w:t>
      </w:r>
    </w:p>
    <w:p w14:paraId="1CF6E7DA" w14:textId="77777777" w:rsidR="00802AB2" w:rsidRPr="005A1667" w:rsidRDefault="00802AB2" w:rsidP="00902D26">
      <w:pPr>
        <w:pStyle w:val="ListParagraph"/>
        <w:numPr>
          <w:ilvl w:val="1"/>
          <w:numId w:val="10"/>
        </w:numPr>
        <w:rPr>
          <w:rFonts w:cstheme="minorHAnsi"/>
          <w:sz w:val="22"/>
          <w:szCs w:val="22"/>
        </w:rPr>
      </w:pPr>
      <w:r w:rsidRPr="005A1667">
        <w:rPr>
          <w:rFonts w:cstheme="minorHAnsi"/>
          <w:sz w:val="22"/>
          <w:szCs w:val="22"/>
        </w:rPr>
        <w:t>Balance of System for each alternative</w:t>
      </w:r>
    </w:p>
    <w:p w14:paraId="4729567C" w14:textId="77777777" w:rsidR="00802AB2" w:rsidRPr="005A1667" w:rsidRDefault="00802AB2" w:rsidP="00902D26">
      <w:pPr>
        <w:pStyle w:val="ListParagraph"/>
        <w:numPr>
          <w:ilvl w:val="0"/>
          <w:numId w:val="10"/>
        </w:numPr>
        <w:rPr>
          <w:rFonts w:cstheme="minorHAnsi"/>
          <w:sz w:val="22"/>
          <w:szCs w:val="22"/>
        </w:rPr>
      </w:pPr>
      <w:r w:rsidRPr="005A1667">
        <w:rPr>
          <w:rFonts w:cstheme="minorHAnsi"/>
          <w:sz w:val="22"/>
          <w:szCs w:val="22"/>
        </w:rPr>
        <w:t>Length of construction period</w:t>
      </w:r>
    </w:p>
    <w:p w14:paraId="17E7A70B" w14:textId="77777777" w:rsidR="00802AB2" w:rsidRPr="005A1667" w:rsidRDefault="00802AB2" w:rsidP="00902D26">
      <w:pPr>
        <w:pStyle w:val="ListParagraph"/>
        <w:numPr>
          <w:ilvl w:val="0"/>
          <w:numId w:val="10"/>
        </w:numPr>
        <w:rPr>
          <w:rFonts w:cstheme="minorHAnsi"/>
          <w:sz w:val="22"/>
          <w:szCs w:val="22"/>
        </w:rPr>
      </w:pPr>
      <w:r w:rsidRPr="005A1667">
        <w:rPr>
          <w:rFonts w:cstheme="minorHAnsi"/>
          <w:sz w:val="22"/>
          <w:szCs w:val="22"/>
        </w:rPr>
        <w:t>Capacity factors</w:t>
      </w:r>
    </w:p>
    <w:p w14:paraId="2D001C3A" w14:textId="77777777" w:rsidR="00802AB2" w:rsidRPr="005A1667" w:rsidRDefault="00802AB2" w:rsidP="00902D26">
      <w:pPr>
        <w:pStyle w:val="ListParagraph"/>
        <w:numPr>
          <w:ilvl w:val="1"/>
          <w:numId w:val="10"/>
        </w:numPr>
        <w:rPr>
          <w:rFonts w:cstheme="minorHAnsi"/>
          <w:sz w:val="22"/>
          <w:szCs w:val="22"/>
        </w:rPr>
      </w:pPr>
      <w:r w:rsidRPr="005A1667">
        <w:rPr>
          <w:rFonts w:cstheme="minorHAnsi"/>
          <w:sz w:val="22"/>
          <w:szCs w:val="22"/>
        </w:rPr>
        <w:t>Wind</w:t>
      </w:r>
    </w:p>
    <w:p w14:paraId="78479EA1" w14:textId="77777777" w:rsidR="00802AB2" w:rsidRPr="005A1667" w:rsidRDefault="00802AB2" w:rsidP="00902D26">
      <w:pPr>
        <w:pStyle w:val="ListParagraph"/>
        <w:numPr>
          <w:ilvl w:val="1"/>
          <w:numId w:val="10"/>
        </w:numPr>
        <w:rPr>
          <w:rFonts w:cstheme="minorHAnsi"/>
          <w:sz w:val="22"/>
          <w:szCs w:val="22"/>
        </w:rPr>
      </w:pPr>
      <w:r w:rsidRPr="005A1667">
        <w:rPr>
          <w:rFonts w:cstheme="minorHAnsi"/>
          <w:sz w:val="22"/>
          <w:szCs w:val="22"/>
        </w:rPr>
        <w:t>Solar</w:t>
      </w:r>
    </w:p>
    <w:p w14:paraId="6E9D8437" w14:textId="77777777" w:rsidR="00802AB2" w:rsidRPr="005A1667" w:rsidRDefault="00802AB2" w:rsidP="00902D26">
      <w:pPr>
        <w:pStyle w:val="ListParagraph"/>
        <w:numPr>
          <w:ilvl w:val="1"/>
          <w:numId w:val="10"/>
        </w:numPr>
        <w:rPr>
          <w:rFonts w:cstheme="minorHAnsi"/>
          <w:sz w:val="22"/>
          <w:szCs w:val="22"/>
        </w:rPr>
      </w:pPr>
      <w:r w:rsidRPr="005A1667">
        <w:rPr>
          <w:rFonts w:cstheme="minorHAnsi"/>
          <w:sz w:val="22"/>
          <w:szCs w:val="22"/>
        </w:rPr>
        <w:t>Diesel generator</w:t>
      </w:r>
    </w:p>
    <w:p w14:paraId="2BE62A64" w14:textId="77777777" w:rsidR="00802AB2" w:rsidRPr="005A1667" w:rsidRDefault="00802AB2" w:rsidP="00902D26">
      <w:pPr>
        <w:pStyle w:val="ListParagraph"/>
        <w:numPr>
          <w:ilvl w:val="1"/>
          <w:numId w:val="10"/>
        </w:numPr>
        <w:rPr>
          <w:rFonts w:cstheme="minorHAnsi"/>
          <w:sz w:val="22"/>
          <w:szCs w:val="22"/>
        </w:rPr>
      </w:pPr>
      <w:r w:rsidRPr="005A1667">
        <w:rPr>
          <w:rFonts w:cstheme="minorHAnsi"/>
          <w:sz w:val="22"/>
          <w:szCs w:val="22"/>
        </w:rPr>
        <w:t>Round trip efficiency for battery</w:t>
      </w:r>
    </w:p>
    <w:p w14:paraId="37F51446" w14:textId="77777777" w:rsidR="00802AB2" w:rsidRPr="005A1667" w:rsidRDefault="00802AB2" w:rsidP="00902D26">
      <w:pPr>
        <w:pStyle w:val="ListParagraph"/>
        <w:numPr>
          <w:ilvl w:val="0"/>
          <w:numId w:val="10"/>
        </w:numPr>
        <w:rPr>
          <w:rFonts w:cstheme="minorHAnsi"/>
          <w:sz w:val="22"/>
          <w:szCs w:val="22"/>
        </w:rPr>
      </w:pPr>
      <w:r w:rsidRPr="005A1667">
        <w:rPr>
          <w:rFonts w:cstheme="minorHAnsi"/>
          <w:sz w:val="22"/>
          <w:szCs w:val="22"/>
        </w:rPr>
        <w:lastRenderedPageBreak/>
        <w:t>Operating costs of each alternative</w:t>
      </w:r>
    </w:p>
    <w:p w14:paraId="50178204" w14:textId="77777777" w:rsidR="00802AB2" w:rsidRPr="005A1667" w:rsidRDefault="00802AB2" w:rsidP="00902D26">
      <w:pPr>
        <w:pStyle w:val="ListParagraph"/>
        <w:numPr>
          <w:ilvl w:val="1"/>
          <w:numId w:val="10"/>
        </w:numPr>
        <w:rPr>
          <w:rFonts w:cstheme="minorHAnsi"/>
          <w:sz w:val="22"/>
          <w:szCs w:val="22"/>
        </w:rPr>
      </w:pPr>
      <w:r w:rsidRPr="005A1667">
        <w:rPr>
          <w:rFonts w:cstheme="minorHAnsi"/>
          <w:sz w:val="22"/>
          <w:szCs w:val="22"/>
        </w:rPr>
        <w:t>Variable Operations &amp; Maintenance (O&amp;M) costs by component</w:t>
      </w:r>
    </w:p>
    <w:p w14:paraId="30E3C353" w14:textId="77777777" w:rsidR="00802AB2" w:rsidRPr="005A1667" w:rsidRDefault="00802AB2" w:rsidP="00902D26">
      <w:pPr>
        <w:pStyle w:val="ListParagraph"/>
        <w:numPr>
          <w:ilvl w:val="2"/>
          <w:numId w:val="10"/>
        </w:numPr>
        <w:rPr>
          <w:rFonts w:cstheme="minorHAnsi"/>
          <w:sz w:val="22"/>
          <w:szCs w:val="22"/>
        </w:rPr>
      </w:pPr>
      <w:r w:rsidRPr="005A1667">
        <w:rPr>
          <w:rFonts w:cstheme="minorHAnsi"/>
          <w:sz w:val="22"/>
          <w:szCs w:val="22"/>
        </w:rPr>
        <w:t>Fuel</w:t>
      </w:r>
    </w:p>
    <w:p w14:paraId="2CC901E6" w14:textId="4AB6447B" w:rsidR="00802AB2" w:rsidRPr="005A1667" w:rsidRDefault="00C63744" w:rsidP="00902D26">
      <w:pPr>
        <w:pStyle w:val="ListParagraph"/>
        <w:numPr>
          <w:ilvl w:val="2"/>
          <w:numId w:val="10"/>
        </w:numPr>
        <w:rPr>
          <w:rFonts w:cstheme="minorHAnsi"/>
          <w:sz w:val="22"/>
          <w:szCs w:val="22"/>
        </w:rPr>
      </w:pPr>
      <w:r>
        <w:rPr>
          <w:rFonts w:cstheme="minorHAnsi"/>
          <w:sz w:val="22"/>
          <w:szCs w:val="22"/>
        </w:rPr>
        <w:t>Non-</w:t>
      </w:r>
      <w:r w:rsidR="00802AB2" w:rsidRPr="005A1667">
        <w:rPr>
          <w:rFonts w:cstheme="minorHAnsi"/>
          <w:sz w:val="22"/>
          <w:szCs w:val="22"/>
        </w:rPr>
        <w:t>fuel O&amp;M</w:t>
      </w:r>
    </w:p>
    <w:p w14:paraId="365A979E" w14:textId="77777777" w:rsidR="00802AB2" w:rsidRPr="005A1667" w:rsidRDefault="00802AB2" w:rsidP="00902D26">
      <w:pPr>
        <w:pStyle w:val="ListParagraph"/>
        <w:numPr>
          <w:ilvl w:val="1"/>
          <w:numId w:val="10"/>
        </w:numPr>
        <w:rPr>
          <w:rFonts w:cstheme="minorHAnsi"/>
          <w:sz w:val="22"/>
          <w:szCs w:val="22"/>
        </w:rPr>
      </w:pPr>
      <w:r w:rsidRPr="005A1667">
        <w:rPr>
          <w:rFonts w:cstheme="minorHAnsi"/>
          <w:sz w:val="22"/>
          <w:szCs w:val="22"/>
        </w:rPr>
        <w:t>Fixed O&amp;M</w:t>
      </w:r>
    </w:p>
    <w:p w14:paraId="4C7751AE" w14:textId="77777777" w:rsidR="00802AB2" w:rsidRPr="005A1667" w:rsidRDefault="00802AB2" w:rsidP="00902D26">
      <w:pPr>
        <w:pStyle w:val="ListParagraph"/>
        <w:numPr>
          <w:ilvl w:val="1"/>
          <w:numId w:val="10"/>
        </w:numPr>
        <w:rPr>
          <w:rFonts w:cstheme="minorHAnsi"/>
          <w:sz w:val="22"/>
          <w:szCs w:val="22"/>
        </w:rPr>
      </w:pPr>
      <w:r w:rsidRPr="005A1667">
        <w:rPr>
          <w:rFonts w:cstheme="minorHAnsi"/>
          <w:sz w:val="22"/>
          <w:szCs w:val="22"/>
        </w:rPr>
        <w:t>Escalation rates expected</w:t>
      </w:r>
    </w:p>
    <w:p w14:paraId="18854C6A" w14:textId="77777777" w:rsidR="00802AB2" w:rsidRPr="005A1667" w:rsidRDefault="00802AB2" w:rsidP="00902D26">
      <w:pPr>
        <w:pStyle w:val="ListParagraph"/>
        <w:numPr>
          <w:ilvl w:val="0"/>
          <w:numId w:val="10"/>
        </w:numPr>
        <w:rPr>
          <w:rFonts w:cstheme="minorHAnsi"/>
          <w:sz w:val="22"/>
          <w:szCs w:val="22"/>
        </w:rPr>
      </w:pPr>
      <w:r w:rsidRPr="005A1667">
        <w:rPr>
          <w:rFonts w:cstheme="minorHAnsi"/>
          <w:sz w:val="22"/>
          <w:szCs w:val="22"/>
        </w:rPr>
        <w:t>Major maintenance costs including expected year of inclusion</w:t>
      </w:r>
    </w:p>
    <w:p w14:paraId="4CD14DEE" w14:textId="77777777" w:rsidR="00802AB2" w:rsidRPr="005A1667" w:rsidRDefault="00802AB2" w:rsidP="00902D26">
      <w:pPr>
        <w:pStyle w:val="ListParagraph"/>
        <w:numPr>
          <w:ilvl w:val="0"/>
          <w:numId w:val="10"/>
        </w:numPr>
        <w:rPr>
          <w:rFonts w:cstheme="minorHAnsi"/>
          <w:sz w:val="22"/>
          <w:szCs w:val="22"/>
        </w:rPr>
      </w:pPr>
      <w:r w:rsidRPr="005A1667">
        <w:rPr>
          <w:rFonts w:cstheme="minorHAnsi"/>
          <w:sz w:val="22"/>
          <w:szCs w:val="22"/>
        </w:rPr>
        <w:t>Depreciation schedules</w:t>
      </w:r>
    </w:p>
    <w:p w14:paraId="14A791FC" w14:textId="77777777" w:rsidR="00802AB2" w:rsidRPr="005A1667" w:rsidRDefault="00802AB2" w:rsidP="00902D26">
      <w:pPr>
        <w:pStyle w:val="ListParagraph"/>
        <w:numPr>
          <w:ilvl w:val="1"/>
          <w:numId w:val="10"/>
        </w:numPr>
        <w:rPr>
          <w:rFonts w:cstheme="minorHAnsi"/>
          <w:sz w:val="22"/>
          <w:szCs w:val="22"/>
        </w:rPr>
      </w:pPr>
      <w:r w:rsidRPr="005A1667">
        <w:rPr>
          <w:rFonts w:cstheme="minorHAnsi"/>
          <w:sz w:val="22"/>
          <w:szCs w:val="22"/>
        </w:rPr>
        <w:t>For each component</w:t>
      </w:r>
    </w:p>
    <w:p w14:paraId="7B9820F2" w14:textId="77777777" w:rsidR="00802AB2" w:rsidRPr="005A1667" w:rsidRDefault="00802AB2" w:rsidP="00902D26">
      <w:pPr>
        <w:pStyle w:val="ListParagraph"/>
        <w:numPr>
          <w:ilvl w:val="0"/>
          <w:numId w:val="10"/>
        </w:numPr>
        <w:rPr>
          <w:rFonts w:cstheme="minorHAnsi"/>
          <w:sz w:val="22"/>
          <w:szCs w:val="22"/>
        </w:rPr>
      </w:pPr>
      <w:r w:rsidRPr="005A1667">
        <w:rPr>
          <w:rFonts w:cstheme="minorHAnsi"/>
          <w:sz w:val="22"/>
          <w:szCs w:val="22"/>
        </w:rPr>
        <w:t>Tax rates</w:t>
      </w:r>
    </w:p>
    <w:p w14:paraId="1634F128" w14:textId="77777777" w:rsidR="00802AB2" w:rsidRPr="005A1667" w:rsidRDefault="00802AB2" w:rsidP="00902D26">
      <w:pPr>
        <w:pStyle w:val="ListParagraph"/>
        <w:numPr>
          <w:ilvl w:val="1"/>
          <w:numId w:val="10"/>
        </w:numPr>
        <w:rPr>
          <w:rFonts w:cstheme="minorHAnsi"/>
          <w:sz w:val="22"/>
          <w:szCs w:val="22"/>
        </w:rPr>
      </w:pPr>
      <w:r w:rsidRPr="005A1667">
        <w:rPr>
          <w:rFonts w:cstheme="minorHAnsi"/>
          <w:sz w:val="22"/>
          <w:szCs w:val="22"/>
        </w:rPr>
        <w:t>Income tax rates</w:t>
      </w:r>
    </w:p>
    <w:p w14:paraId="08144E25" w14:textId="77777777" w:rsidR="00802AB2" w:rsidRPr="005A1667" w:rsidRDefault="00802AB2" w:rsidP="00902D26">
      <w:pPr>
        <w:pStyle w:val="ListParagraph"/>
        <w:numPr>
          <w:ilvl w:val="2"/>
          <w:numId w:val="10"/>
        </w:numPr>
        <w:rPr>
          <w:rFonts w:cstheme="minorHAnsi"/>
          <w:sz w:val="22"/>
          <w:szCs w:val="22"/>
        </w:rPr>
      </w:pPr>
      <w:r w:rsidRPr="005A1667">
        <w:rPr>
          <w:rFonts w:cstheme="minorHAnsi"/>
          <w:sz w:val="22"/>
          <w:szCs w:val="22"/>
        </w:rPr>
        <w:t>Federal, State, Local</w:t>
      </w:r>
    </w:p>
    <w:p w14:paraId="0E06A747" w14:textId="77777777" w:rsidR="00802AB2" w:rsidRPr="005A1667" w:rsidRDefault="00802AB2" w:rsidP="00902D26">
      <w:pPr>
        <w:pStyle w:val="ListParagraph"/>
        <w:numPr>
          <w:ilvl w:val="1"/>
          <w:numId w:val="10"/>
        </w:numPr>
        <w:rPr>
          <w:rFonts w:cstheme="minorHAnsi"/>
          <w:sz w:val="22"/>
          <w:szCs w:val="22"/>
        </w:rPr>
      </w:pPr>
      <w:r w:rsidRPr="005A1667">
        <w:rPr>
          <w:rFonts w:cstheme="minorHAnsi"/>
          <w:sz w:val="22"/>
          <w:szCs w:val="22"/>
        </w:rPr>
        <w:t>Gross receipts tax?</w:t>
      </w:r>
    </w:p>
    <w:p w14:paraId="304C0D5C" w14:textId="77777777" w:rsidR="00802AB2" w:rsidRPr="005A1667" w:rsidRDefault="00802AB2" w:rsidP="00902D26">
      <w:pPr>
        <w:pStyle w:val="ListParagraph"/>
        <w:numPr>
          <w:ilvl w:val="1"/>
          <w:numId w:val="10"/>
        </w:numPr>
        <w:rPr>
          <w:rFonts w:cstheme="minorHAnsi"/>
          <w:sz w:val="22"/>
          <w:szCs w:val="22"/>
        </w:rPr>
      </w:pPr>
      <w:r w:rsidRPr="005A1667">
        <w:rPr>
          <w:rFonts w:cstheme="minorHAnsi"/>
          <w:sz w:val="22"/>
          <w:szCs w:val="22"/>
        </w:rPr>
        <w:t>Sales tax rates</w:t>
      </w:r>
    </w:p>
    <w:p w14:paraId="70A94F98" w14:textId="77777777" w:rsidR="00802AB2" w:rsidRPr="005A1667" w:rsidRDefault="00802AB2" w:rsidP="00902D26">
      <w:pPr>
        <w:pStyle w:val="ListParagraph"/>
        <w:numPr>
          <w:ilvl w:val="1"/>
          <w:numId w:val="10"/>
        </w:numPr>
        <w:rPr>
          <w:rFonts w:cstheme="minorHAnsi"/>
          <w:sz w:val="22"/>
          <w:szCs w:val="22"/>
        </w:rPr>
      </w:pPr>
      <w:r w:rsidRPr="005A1667">
        <w:rPr>
          <w:rFonts w:cstheme="minorHAnsi"/>
          <w:sz w:val="22"/>
          <w:szCs w:val="22"/>
        </w:rPr>
        <w:t>Property tax rates</w:t>
      </w:r>
    </w:p>
    <w:p w14:paraId="2A5F7DDF" w14:textId="77777777" w:rsidR="00802AB2" w:rsidRPr="005A1667" w:rsidRDefault="00802AB2" w:rsidP="00902D26">
      <w:pPr>
        <w:pStyle w:val="ListParagraph"/>
        <w:numPr>
          <w:ilvl w:val="0"/>
          <w:numId w:val="10"/>
        </w:numPr>
        <w:rPr>
          <w:rFonts w:cstheme="minorHAnsi"/>
          <w:sz w:val="22"/>
          <w:szCs w:val="22"/>
        </w:rPr>
      </w:pPr>
      <w:r w:rsidRPr="005A1667">
        <w:rPr>
          <w:rFonts w:cstheme="minorHAnsi"/>
          <w:sz w:val="22"/>
          <w:szCs w:val="22"/>
        </w:rPr>
        <w:t>Insurance rates (make sure not to double count if included in the O&amp;M costs)</w:t>
      </w:r>
    </w:p>
    <w:p w14:paraId="2C6C8D09" w14:textId="77777777" w:rsidR="00802AB2" w:rsidRPr="005A1667" w:rsidRDefault="00802AB2" w:rsidP="00902D26">
      <w:pPr>
        <w:pStyle w:val="ListParagraph"/>
        <w:numPr>
          <w:ilvl w:val="0"/>
          <w:numId w:val="10"/>
        </w:numPr>
        <w:rPr>
          <w:rFonts w:cstheme="minorHAnsi"/>
          <w:sz w:val="22"/>
          <w:szCs w:val="22"/>
        </w:rPr>
      </w:pPr>
      <w:r w:rsidRPr="005A1667">
        <w:rPr>
          <w:rFonts w:cstheme="minorHAnsi"/>
          <w:sz w:val="22"/>
          <w:szCs w:val="22"/>
        </w:rPr>
        <w:t>Incentives</w:t>
      </w:r>
    </w:p>
    <w:p w14:paraId="5B6B4E83" w14:textId="77777777" w:rsidR="00802AB2" w:rsidRPr="005A1667" w:rsidRDefault="00802AB2" w:rsidP="00902D26">
      <w:pPr>
        <w:pStyle w:val="ListParagraph"/>
        <w:numPr>
          <w:ilvl w:val="1"/>
          <w:numId w:val="10"/>
        </w:numPr>
        <w:rPr>
          <w:rFonts w:cstheme="minorHAnsi"/>
          <w:sz w:val="22"/>
          <w:szCs w:val="22"/>
        </w:rPr>
      </w:pPr>
      <w:r w:rsidRPr="005A1667">
        <w:rPr>
          <w:rFonts w:cstheme="minorHAnsi"/>
          <w:sz w:val="22"/>
          <w:szCs w:val="22"/>
        </w:rPr>
        <w:t>Federal, State, Local</w:t>
      </w:r>
    </w:p>
    <w:p w14:paraId="3EAFD2EE" w14:textId="77777777" w:rsidR="00802AB2" w:rsidRPr="005A1667" w:rsidRDefault="00802AB2" w:rsidP="00902D26">
      <w:pPr>
        <w:pStyle w:val="ListParagraph"/>
        <w:numPr>
          <w:ilvl w:val="2"/>
          <w:numId w:val="10"/>
        </w:numPr>
        <w:rPr>
          <w:rFonts w:cstheme="minorHAnsi"/>
          <w:sz w:val="22"/>
          <w:szCs w:val="22"/>
        </w:rPr>
      </w:pPr>
      <w:r w:rsidRPr="005A1667">
        <w:rPr>
          <w:rFonts w:cstheme="minorHAnsi"/>
          <w:sz w:val="22"/>
          <w:szCs w:val="22"/>
        </w:rPr>
        <w:t>Investment tax credits, production tax credits</w:t>
      </w:r>
    </w:p>
    <w:p w14:paraId="7A3BB80B" w14:textId="77777777" w:rsidR="00802AB2" w:rsidRPr="005A1667" w:rsidRDefault="00802AB2" w:rsidP="00902D26">
      <w:pPr>
        <w:pStyle w:val="ListParagraph"/>
        <w:numPr>
          <w:ilvl w:val="3"/>
          <w:numId w:val="10"/>
        </w:numPr>
        <w:rPr>
          <w:rFonts w:cstheme="minorHAnsi"/>
          <w:sz w:val="22"/>
          <w:szCs w:val="22"/>
        </w:rPr>
      </w:pPr>
      <w:r w:rsidRPr="005A1667">
        <w:rPr>
          <w:rFonts w:cstheme="minorHAnsi"/>
          <w:sz w:val="22"/>
          <w:szCs w:val="22"/>
        </w:rPr>
        <w:t>Rates by year of construction beginning</w:t>
      </w:r>
    </w:p>
    <w:p w14:paraId="6010780D" w14:textId="77777777" w:rsidR="00802AB2" w:rsidRPr="005A1667" w:rsidRDefault="00802AB2" w:rsidP="00902D26">
      <w:pPr>
        <w:pStyle w:val="ListParagraph"/>
        <w:numPr>
          <w:ilvl w:val="0"/>
          <w:numId w:val="10"/>
        </w:numPr>
        <w:rPr>
          <w:rFonts w:cstheme="minorHAnsi"/>
          <w:sz w:val="22"/>
          <w:szCs w:val="22"/>
        </w:rPr>
      </w:pPr>
      <w:r w:rsidRPr="005A1667">
        <w:rPr>
          <w:rFonts w:cstheme="minorHAnsi"/>
          <w:sz w:val="22"/>
          <w:szCs w:val="22"/>
        </w:rPr>
        <w:t>Prices</w:t>
      </w:r>
    </w:p>
    <w:p w14:paraId="72DA86E0" w14:textId="77777777" w:rsidR="00802AB2" w:rsidRPr="005A1667" w:rsidRDefault="00802AB2" w:rsidP="00902D26">
      <w:pPr>
        <w:pStyle w:val="ListParagraph"/>
        <w:numPr>
          <w:ilvl w:val="1"/>
          <w:numId w:val="10"/>
        </w:numPr>
        <w:rPr>
          <w:rFonts w:cstheme="minorHAnsi"/>
          <w:sz w:val="22"/>
          <w:szCs w:val="22"/>
        </w:rPr>
      </w:pPr>
      <w:r w:rsidRPr="005A1667">
        <w:rPr>
          <w:rFonts w:cstheme="minorHAnsi"/>
          <w:sz w:val="22"/>
          <w:szCs w:val="22"/>
        </w:rPr>
        <w:t>Diesel prices, expected, potential variance</w:t>
      </w:r>
    </w:p>
    <w:p w14:paraId="44753EC1" w14:textId="77777777" w:rsidR="00802AB2" w:rsidRPr="005A1667" w:rsidRDefault="00802AB2" w:rsidP="00902D26">
      <w:pPr>
        <w:pStyle w:val="ListParagraph"/>
        <w:numPr>
          <w:ilvl w:val="1"/>
          <w:numId w:val="10"/>
        </w:numPr>
        <w:rPr>
          <w:rFonts w:cstheme="minorHAnsi"/>
          <w:sz w:val="22"/>
          <w:szCs w:val="22"/>
        </w:rPr>
      </w:pPr>
      <w:r w:rsidRPr="005A1667">
        <w:rPr>
          <w:rFonts w:cstheme="minorHAnsi"/>
          <w:sz w:val="22"/>
          <w:szCs w:val="22"/>
        </w:rPr>
        <w:t>Any other value discovered during analysis</w:t>
      </w:r>
    </w:p>
    <w:p w14:paraId="60F543DC" w14:textId="77777777" w:rsidR="00802AB2" w:rsidRPr="005A1667" w:rsidRDefault="00802AB2" w:rsidP="00902D26">
      <w:pPr>
        <w:pStyle w:val="ListParagraph"/>
        <w:numPr>
          <w:ilvl w:val="1"/>
          <w:numId w:val="10"/>
        </w:numPr>
        <w:rPr>
          <w:rFonts w:cstheme="minorHAnsi"/>
          <w:sz w:val="22"/>
          <w:szCs w:val="22"/>
        </w:rPr>
      </w:pPr>
      <w:r w:rsidRPr="005A1667">
        <w:rPr>
          <w:rFonts w:cstheme="minorHAnsi"/>
          <w:sz w:val="22"/>
          <w:szCs w:val="22"/>
        </w:rPr>
        <w:t>Escalation rates for each</w:t>
      </w:r>
    </w:p>
    <w:p w14:paraId="3C392F48" w14:textId="77777777" w:rsidR="00802AB2" w:rsidRPr="005A1667" w:rsidRDefault="00802AB2" w:rsidP="00902D26">
      <w:pPr>
        <w:pStyle w:val="ListParagraph"/>
        <w:numPr>
          <w:ilvl w:val="0"/>
          <w:numId w:val="10"/>
        </w:numPr>
        <w:rPr>
          <w:rFonts w:cstheme="minorHAnsi"/>
          <w:sz w:val="22"/>
          <w:szCs w:val="22"/>
        </w:rPr>
      </w:pPr>
      <w:r w:rsidRPr="005A1667">
        <w:rPr>
          <w:rFonts w:cstheme="minorHAnsi"/>
          <w:sz w:val="22"/>
          <w:szCs w:val="22"/>
        </w:rPr>
        <w:t>Expected hurdle rates required by alternative</w:t>
      </w:r>
    </w:p>
    <w:p w14:paraId="78D7A742" w14:textId="77777777" w:rsidR="00802AB2" w:rsidRPr="005A1667" w:rsidRDefault="00802AB2" w:rsidP="00902D26">
      <w:pPr>
        <w:pStyle w:val="ListParagraph"/>
        <w:numPr>
          <w:ilvl w:val="1"/>
          <w:numId w:val="10"/>
        </w:numPr>
        <w:rPr>
          <w:rFonts w:cstheme="minorHAnsi"/>
          <w:sz w:val="22"/>
          <w:szCs w:val="22"/>
        </w:rPr>
      </w:pPr>
      <w:r w:rsidRPr="005A1667">
        <w:rPr>
          <w:rFonts w:cstheme="minorHAnsi"/>
          <w:sz w:val="22"/>
          <w:szCs w:val="22"/>
        </w:rPr>
        <w:t>ESCO rate</w:t>
      </w:r>
    </w:p>
    <w:p w14:paraId="04388179" w14:textId="77777777" w:rsidR="00802AB2" w:rsidRPr="005A1667" w:rsidRDefault="00802AB2" w:rsidP="00902D26">
      <w:pPr>
        <w:pStyle w:val="ListParagraph"/>
        <w:numPr>
          <w:ilvl w:val="1"/>
          <w:numId w:val="10"/>
        </w:numPr>
        <w:rPr>
          <w:rFonts w:cstheme="minorHAnsi"/>
          <w:sz w:val="22"/>
          <w:szCs w:val="22"/>
        </w:rPr>
      </w:pPr>
      <w:r w:rsidRPr="005A1667">
        <w:rPr>
          <w:rFonts w:cstheme="minorHAnsi"/>
          <w:sz w:val="22"/>
          <w:szCs w:val="22"/>
        </w:rPr>
        <w:t>Village utility rate</w:t>
      </w:r>
    </w:p>
    <w:p w14:paraId="06CBA10E" w14:textId="77777777" w:rsidR="00802AB2" w:rsidRPr="005A1667" w:rsidRDefault="00802AB2" w:rsidP="00902D26">
      <w:pPr>
        <w:pStyle w:val="ListParagraph"/>
        <w:numPr>
          <w:ilvl w:val="1"/>
          <w:numId w:val="10"/>
        </w:numPr>
        <w:rPr>
          <w:rFonts w:cstheme="minorHAnsi"/>
          <w:sz w:val="22"/>
          <w:szCs w:val="22"/>
        </w:rPr>
      </w:pPr>
      <w:r w:rsidRPr="005A1667">
        <w:rPr>
          <w:rFonts w:cstheme="minorHAnsi"/>
          <w:sz w:val="22"/>
          <w:szCs w:val="22"/>
        </w:rPr>
        <w:t>Other alternative</w:t>
      </w:r>
    </w:p>
    <w:p w14:paraId="4CEE3C00" w14:textId="77777777" w:rsidR="00802AB2" w:rsidRPr="005A1667" w:rsidRDefault="00802AB2" w:rsidP="00902D26">
      <w:pPr>
        <w:pStyle w:val="ListParagraph"/>
        <w:numPr>
          <w:ilvl w:val="0"/>
          <w:numId w:val="10"/>
        </w:numPr>
        <w:rPr>
          <w:rFonts w:cstheme="minorHAnsi"/>
          <w:sz w:val="22"/>
          <w:szCs w:val="22"/>
        </w:rPr>
      </w:pPr>
      <w:r w:rsidRPr="005A1667">
        <w:rPr>
          <w:rFonts w:cstheme="minorHAnsi"/>
          <w:sz w:val="22"/>
          <w:szCs w:val="22"/>
        </w:rPr>
        <w:t>Financing Assumptions</w:t>
      </w:r>
    </w:p>
    <w:p w14:paraId="6A80A264" w14:textId="77777777" w:rsidR="00802AB2" w:rsidRPr="005A1667" w:rsidRDefault="00802AB2" w:rsidP="00902D26">
      <w:pPr>
        <w:pStyle w:val="ListParagraph"/>
        <w:numPr>
          <w:ilvl w:val="1"/>
          <w:numId w:val="10"/>
        </w:numPr>
        <w:rPr>
          <w:rFonts w:cstheme="minorHAnsi"/>
          <w:sz w:val="22"/>
          <w:szCs w:val="22"/>
        </w:rPr>
      </w:pPr>
      <w:r w:rsidRPr="005A1667">
        <w:rPr>
          <w:rFonts w:cstheme="minorHAnsi"/>
          <w:sz w:val="22"/>
          <w:szCs w:val="22"/>
        </w:rPr>
        <w:t>Alternatives Studied</w:t>
      </w:r>
    </w:p>
    <w:p w14:paraId="63E2C0B9" w14:textId="77777777" w:rsidR="00802AB2" w:rsidRPr="005A1667" w:rsidRDefault="00802AB2" w:rsidP="00902D26">
      <w:pPr>
        <w:pStyle w:val="ListParagraph"/>
        <w:numPr>
          <w:ilvl w:val="2"/>
          <w:numId w:val="10"/>
        </w:numPr>
        <w:rPr>
          <w:rFonts w:cstheme="minorHAnsi"/>
          <w:sz w:val="22"/>
          <w:szCs w:val="22"/>
        </w:rPr>
      </w:pPr>
      <w:r w:rsidRPr="005A1667">
        <w:rPr>
          <w:rFonts w:cstheme="minorHAnsi"/>
          <w:sz w:val="22"/>
          <w:szCs w:val="22"/>
        </w:rPr>
        <w:t>Debt financing fees</w:t>
      </w:r>
    </w:p>
    <w:p w14:paraId="0D0876B7" w14:textId="77777777" w:rsidR="00802AB2" w:rsidRPr="005A1667" w:rsidRDefault="00802AB2" w:rsidP="00902D26">
      <w:pPr>
        <w:pStyle w:val="ListParagraph"/>
        <w:numPr>
          <w:ilvl w:val="2"/>
          <w:numId w:val="10"/>
        </w:numPr>
        <w:rPr>
          <w:rFonts w:cstheme="minorHAnsi"/>
          <w:sz w:val="22"/>
          <w:szCs w:val="22"/>
        </w:rPr>
      </w:pPr>
      <w:r w:rsidRPr="005A1667">
        <w:rPr>
          <w:rFonts w:cstheme="minorHAnsi"/>
          <w:sz w:val="22"/>
          <w:szCs w:val="22"/>
        </w:rPr>
        <w:t>Interest rates during construction</w:t>
      </w:r>
    </w:p>
    <w:p w14:paraId="18BF077A" w14:textId="77777777" w:rsidR="00802AB2" w:rsidRPr="005A1667" w:rsidRDefault="00802AB2" w:rsidP="00902D26">
      <w:pPr>
        <w:pStyle w:val="ListParagraph"/>
        <w:numPr>
          <w:ilvl w:val="2"/>
          <w:numId w:val="10"/>
        </w:numPr>
        <w:rPr>
          <w:rFonts w:cstheme="minorHAnsi"/>
          <w:sz w:val="22"/>
          <w:szCs w:val="22"/>
        </w:rPr>
      </w:pPr>
      <w:r w:rsidRPr="005A1667">
        <w:rPr>
          <w:rFonts w:cstheme="minorHAnsi"/>
          <w:sz w:val="22"/>
          <w:szCs w:val="22"/>
        </w:rPr>
        <w:t>Interest rates during project life</w:t>
      </w:r>
    </w:p>
    <w:p w14:paraId="738E8140" w14:textId="77777777" w:rsidR="00802AB2" w:rsidRPr="005A1667" w:rsidRDefault="00802AB2" w:rsidP="00902D26">
      <w:pPr>
        <w:pStyle w:val="ListParagraph"/>
        <w:numPr>
          <w:ilvl w:val="2"/>
          <w:numId w:val="10"/>
        </w:numPr>
        <w:rPr>
          <w:rFonts w:cstheme="minorHAnsi"/>
          <w:sz w:val="22"/>
          <w:szCs w:val="22"/>
        </w:rPr>
      </w:pPr>
      <w:r w:rsidRPr="005A1667">
        <w:rPr>
          <w:rFonts w:cstheme="minorHAnsi"/>
          <w:sz w:val="22"/>
          <w:szCs w:val="22"/>
        </w:rPr>
        <w:t>Debt/Equity percentages</w:t>
      </w:r>
    </w:p>
    <w:p w14:paraId="3D015B5A" w14:textId="77777777" w:rsidR="00802AB2" w:rsidRPr="005A1667" w:rsidRDefault="00802AB2" w:rsidP="00902D26">
      <w:pPr>
        <w:pStyle w:val="ListParagraph"/>
        <w:numPr>
          <w:ilvl w:val="2"/>
          <w:numId w:val="10"/>
        </w:numPr>
        <w:rPr>
          <w:rFonts w:cstheme="minorHAnsi"/>
          <w:sz w:val="22"/>
          <w:szCs w:val="22"/>
        </w:rPr>
      </w:pPr>
      <w:r w:rsidRPr="005A1667">
        <w:rPr>
          <w:rFonts w:cstheme="minorHAnsi"/>
          <w:sz w:val="22"/>
          <w:szCs w:val="22"/>
        </w:rPr>
        <w:t>Type of financing</w:t>
      </w:r>
    </w:p>
    <w:p w14:paraId="781A6322" w14:textId="77777777" w:rsidR="00802AB2" w:rsidRPr="005A1667" w:rsidRDefault="00802AB2" w:rsidP="00902D26">
      <w:pPr>
        <w:pStyle w:val="ListParagraph"/>
        <w:numPr>
          <w:ilvl w:val="3"/>
          <w:numId w:val="10"/>
        </w:numPr>
        <w:rPr>
          <w:rFonts w:cstheme="minorHAnsi"/>
          <w:sz w:val="22"/>
          <w:szCs w:val="22"/>
        </w:rPr>
      </w:pPr>
      <w:r w:rsidRPr="005A1667">
        <w:rPr>
          <w:rFonts w:cstheme="minorHAnsi"/>
          <w:sz w:val="22"/>
          <w:szCs w:val="22"/>
        </w:rPr>
        <w:t>Bank, bonds, grants,</w:t>
      </w:r>
    </w:p>
    <w:p w14:paraId="275A0E95" w14:textId="77777777" w:rsidR="00802AB2" w:rsidRPr="005A1667" w:rsidRDefault="00802AB2" w:rsidP="00902D26">
      <w:pPr>
        <w:pStyle w:val="ListParagraph"/>
        <w:numPr>
          <w:ilvl w:val="4"/>
          <w:numId w:val="10"/>
        </w:numPr>
        <w:rPr>
          <w:rFonts w:cstheme="minorHAnsi"/>
          <w:sz w:val="22"/>
          <w:szCs w:val="22"/>
        </w:rPr>
      </w:pPr>
      <w:r w:rsidRPr="005A1667">
        <w:rPr>
          <w:rFonts w:cstheme="minorHAnsi"/>
          <w:sz w:val="22"/>
          <w:szCs w:val="22"/>
        </w:rPr>
        <w:t xml:space="preserve">Repayment function – mortgage style, other </w:t>
      </w:r>
    </w:p>
    <w:p w14:paraId="44EE2E17" w14:textId="77777777" w:rsidR="00802AB2" w:rsidRPr="005A1667" w:rsidRDefault="00802AB2" w:rsidP="00902D26">
      <w:pPr>
        <w:pStyle w:val="ListParagraph"/>
        <w:numPr>
          <w:ilvl w:val="2"/>
          <w:numId w:val="10"/>
        </w:numPr>
        <w:rPr>
          <w:rFonts w:cstheme="minorHAnsi"/>
          <w:sz w:val="22"/>
          <w:szCs w:val="22"/>
        </w:rPr>
      </w:pPr>
      <w:r w:rsidRPr="005A1667">
        <w:rPr>
          <w:rFonts w:cstheme="minorHAnsi"/>
          <w:sz w:val="22"/>
          <w:szCs w:val="22"/>
        </w:rPr>
        <w:t>Length of financing</w:t>
      </w:r>
    </w:p>
    <w:p w14:paraId="006AF888" w14:textId="77777777" w:rsidR="00802AB2" w:rsidRPr="005A1667" w:rsidRDefault="00802AB2" w:rsidP="00802AB2">
      <w:pPr>
        <w:rPr>
          <w:rFonts w:asciiTheme="minorHAnsi" w:hAnsiTheme="minorHAnsi" w:cstheme="minorHAnsi"/>
        </w:rPr>
      </w:pPr>
    </w:p>
    <w:p w14:paraId="22CD3A85" w14:textId="77777777" w:rsidR="00802AB2" w:rsidRPr="005A1667" w:rsidRDefault="00802AB2" w:rsidP="00802AB2">
      <w:pPr>
        <w:keepNext/>
        <w:rPr>
          <w:rFonts w:asciiTheme="minorHAnsi" w:hAnsiTheme="minorHAnsi" w:cstheme="minorHAnsi"/>
          <w:b/>
        </w:rPr>
      </w:pPr>
      <w:r w:rsidRPr="005A1667">
        <w:rPr>
          <w:rFonts w:asciiTheme="minorHAnsi" w:hAnsiTheme="minorHAnsi" w:cstheme="minorHAnsi"/>
          <w:b/>
        </w:rPr>
        <w:t>Risks</w:t>
      </w:r>
    </w:p>
    <w:p w14:paraId="364AD43D" w14:textId="1040E990" w:rsidR="00802AB2" w:rsidRPr="005A1667" w:rsidRDefault="00802AB2" w:rsidP="00802AB2">
      <w:pPr>
        <w:keepNext/>
        <w:rPr>
          <w:rFonts w:asciiTheme="minorHAnsi" w:hAnsiTheme="minorHAnsi" w:cstheme="minorHAnsi"/>
        </w:rPr>
      </w:pPr>
      <w:r w:rsidRPr="005A1667">
        <w:rPr>
          <w:rFonts w:asciiTheme="minorHAnsi" w:hAnsiTheme="minorHAnsi" w:cstheme="minorHAnsi"/>
        </w:rPr>
        <w:t>The major risks should be summarized. Risks that apply to all cases can be summarized separately. The section should summarize the risk and the mitigation approach that has been developed. Private finance organizations will develop a list of risks and indicate who owns them if private finance is involved. Be</w:t>
      </w:r>
      <w:r w:rsidR="00C63744">
        <w:rPr>
          <w:rFonts w:asciiTheme="minorHAnsi" w:hAnsiTheme="minorHAnsi" w:cstheme="minorHAnsi"/>
        </w:rPr>
        <w:t>low is an extensive but not all-</w:t>
      </w:r>
      <w:r w:rsidRPr="005A1667">
        <w:rPr>
          <w:rFonts w:asciiTheme="minorHAnsi" w:hAnsiTheme="minorHAnsi" w:cstheme="minorHAnsi"/>
        </w:rPr>
        <w:t>inclusive lists of risks. The results of the risk analysis should be summarized in this section and the complete analysis placed in an appendix.</w:t>
      </w:r>
    </w:p>
    <w:p w14:paraId="6FBCF7EB" w14:textId="77777777" w:rsidR="00802AB2" w:rsidRPr="005A1667" w:rsidRDefault="00802AB2" w:rsidP="00902D26">
      <w:pPr>
        <w:pStyle w:val="ListParagraph"/>
        <w:numPr>
          <w:ilvl w:val="0"/>
          <w:numId w:val="11"/>
        </w:numPr>
        <w:rPr>
          <w:rFonts w:cstheme="minorHAnsi"/>
          <w:sz w:val="22"/>
          <w:szCs w:val="22"/>
        </w:rPr>
      </w:pPr>
      <w:r w:rsidRPr="005A1667">
        <w:rPr>
          <w:rFonts w:cstheme="minorHAnsi"/>
          <w:sz w:val="22"/>
          <w:szCs w:val="22"/>
        </w:rPr>
        <w:t>Financing Risk</w:t>
      </w:r>
    </w:p>
    <w:p w14:paraId="3F7FED1B" w14:textId="77777777" w:rsidR="00802AB2" w:rsidRPr="005A1667" w:rsidRDefault="00802AB2" w:rsidP="00902D26">
      <w:pPr>
        <w:pStyle w:val="ListParagraph"/>
        <w:numPr>
          <w:ilvl w:val="1"/>
          <w:numId w:val="11"/>
        </w:numPr>
        <w:rPr>
          <w:rFonts w:cstheme="minorHAnsi"/>
          <w:sz w:val="22"/>
          <w:szCs w:val="22"/>
        </w:rPr>
      </w:pPr>
      <w:r w:rsidRPr="005A1667">
        <w:rPr>
          <w:rFonts w:cstheme="minorHAnsi"/>
          <w:sz w:val="22"/>
          <w:szCs w:val="22"/>
        </w:rPr>
        <w:t xml:space="preserve">Project feasibility risk </w:t>
      </w:r>
    </w:p>
    <w:p w14:paraId="29B7ECAB" w14:textId="77777777" w:rsidR="00802AB2" w:rsidRPr="005A1667" w:rsidRDefault="00802AB2" w:rsidP="00902D26">
      <w:pPr>
        <w:pStyle w:val="ListParagraph"/>
        <w:numPr>
          <w:ilvl w:val="2"/>
          <w:numId w:val="11"/>
        </w:numPr>
        <w:rPr>
          <w:rFonts w:cstheme="minorHAnsi"/>
          <w:sz w:val="22"/>
          <w:szCs w:val="22"/>
        </w:rPr>
      </w:pPr>
      <w:r w:rsidRPr="005A1667">
        <w:rPr>
          <w:rFonts w:cstheme="minorHAnsi"/>
          <w:sz w:val="22"/>
          <w:szCs w:val="22"/>
        </w:rPr>
        <w:t>Adequate internal rate of return to entice investors</w:t>
      </w:r>
    </w:p>
    <w:p w14:paraId="0FFF1705" w14:textId="77777777" w:rsidR="00802AB2" w:rsidRPr="005A1667" w:rsidRDefault="00802AB2" w:rsidP="00902D26">
      <w:pPr>
        <w:pStyle w:val="ListParagraph"/>
        <w:numPr>
          <w:ilvl w:val="2"/>
          <w:numId w:val="11"/>
        </w:numPr>
        <w:rPr>
          <w:rFonts w:cstheme="minorHAnsi"/>
          <w:sz w:val="22"/>
          <w:szCs w:val="22"/>
        </w:rPr>
      </w:pPr>
      <w:r w:rsidRPr="005A1667">
        <w:rPr>
          <w:rFonts w:cstheme="minorHAnsi"/>
          <w:sz w:val="22"/>
          <w:szCs w:val="22"/>
        </w:rPr>
        <w:t>Debt service coverage ratios adequate for financing</w:t>
      </w:r>
    </w:p>
    <w:p w14:paraId="4822C573" w14:textId="77777777" w:rsidR="00802AB2" w:rsidRPr="005A1667" w:rsidRDefault="00802AB2" w:rsidP="00902D26">
      <w:pPr>
        <w:pStyle w:val="ListParagraph"/>
        <w:numPr>
          <w:ilvl w:val="2"/>
          <w:numId w:val="11"/>
        </w:numPr>
        <w:rPr>
          <w:rFonts w:cstheme="minorHAnsi"/>
          <w:sz w:val="22"/>
          <w:szCs w:val="22"/>
        </w:rPr>
      </w:pPr>
      <w:r w:rsidRPr="005A1667">
        <w:rPr>
          <w:rFonts w:cstheme="minorHAnsi"/>
          <w:sz w:val="22"/>
          <w:szCs w:val="22"/>
        </w:rPr>
        <w:t>Adequate collateral for cash flow shortfalls</w:t>
      </w:r>
    </w:p>
    <w:p w14:paraId="78FDB42D" w14:textId="77777777" w:rsidR="00802AB2" w:rsidRPr="005A1667" w:rsidRDefault="00802AB2" w:rsidP="00902D26">
      <w:pPr>
        <w:pStyle w:val="ListParagraph"/>
        <w:numPr>
          <w:ilvl w:val="1"/>
          <w:numId w:val="11"/>
        </w:numPr>
        <w:rPr>
          <w:rFonts w:cstheme="minorHAnsi"/>
          <w:sz w:val="22"/>
          <w:szCs w:val="22"/>
        </w:rPr>
      </w:pPr>
      <w:r w:rsidRPr="005A1667">
        <w:rPr>
          <w:rFonts w:cstheme="minorHAnsi"/>
          <w:sz w:val="22"/>
          <w:szCs w:val="22"/>
        </w:rPr>
        <w:lastRenderedPageBreak/>
        <w:t>Payback risk</w:t>
      </w:r>
    </w:p>
    <w:p w14:paraId="37F615AA" w14:textId="77777777" w:rsidR="00802AB2" w:rsidRPr="005A1667" w:rsidRDefault="00802AB2" w:rsidP="00902D26">
      <w:pPr>
        <w:pStyle w:val="ListParagraph"/>
        <w:numPr>
          <w:ilvl w:val="2"/>
          <w:numId w:val="11"/>
        </w:numPr>
        <w:rPr>
          <w:rFonts w:cstheme="minorHAnsi"/>
          <w:sz w:val="22"/>
          <w:szCs w:val="22"/>
        </w:rPr>
      </w:pPr>
      <w:r w:rsidRPr="005A1667">
        <w:rPr>
          <w:rFonts w:cstheme="minorHAnsi"/>
          <w:sz w:val="22"/>
          <w:szCs w:val="22"/>
        </w:rPr>
        <w:t>Institutional capacity risk or ability to repay debt</w:t>
      </w:r>
    </w:p>
    <w:p w14:paraId="76A9E336" w14:textId="77777777" w:rsidR="00802AB2" w:rsidRPr="005A1667" w:rsidRDefault="00802AB2" w:rsidP="00902D26">
      <w:pPr>
        <w:pStyle w:val="ListParagraph"/>
        <w:numPr>
          <w:ilvl w:val="3"/>
          <w:numId w:val="11"/>
        </w:numPr>
        <w:rPr>
          <w:rFonts w:cstheme="minorHAnsi"/>
          <w:sz w:val="22"/>
          <w:szCs w:val="22"/>
        </w:rPr>
      </w:pPr>
      <w:r w:rsidRPr="005A1667">
        <w:rPr>
          <w:rFonts w:cstheme="minorHAnsi"/>
          <w:sz w:val="22"/>
          <w:szCs w:val="22"/>
        </w:rPr>
        <w:t>Community’s ability to raise prices</w:t>
      </w:r>
    </w:p>
    <w:p w14:paraId="6E7E8141" w14:textId="77777777" w:rsidR="00802AB2" w:rsidRPr="005A1667" w:rsidRDefault="00802AB2" w:rsidP="00902D26">
      <w:pPr>
        <w:pStyle w:val="ListParagraph"/>
        <w:numPr>
          <w:ilvl w:val="4"/>
          <w:numId w:val="11"/>
        </w:numPr>
        <w:rPr>
          <w:rFonts w:cstheme="minorHAnsi"/>
          <w:sz w:val="22"/>
          <w:szCs w:val="22"/>
        </w:rPr>
      </w:pPr>
      <w:r w:rsidRPr="005A1667">
        <w:rPr>
          <w:rFonts w:cstheme="minorHAnsi"/>
          <w:sz w:val="22"/>
          <w:szCs w:val="22"/>
        </w:rPr>
        <w:t>to meet fuel price changes</w:t>
      </w:r>
    </w:p>
    <w:p w14:paraId="06319786" w14:textId="77777777" w:rsidR="00802AB2" w:rsidRPr="005A1667" w:rsidRDefault="00802AB2" w:rsidP="00902D26">
      <w:pPr>
        <w:pStyle w:val="ListParagraph"/>
        <w:numPr>
          <w:ilvl w:val="4"/>
          <w:numId w:val="11"/>
        </w:numPr>
        <w:rPr>
          <w:rFonts w:cstheme="minorHAnsi"/>
          <w:sz w:val="22"/>
          <w:szCs w:val="22"/>
        </w:rPr>
      </w:pPr>
      <w:r w:rsidRPr="005A1667">
        <w:rPr>
          <w:rFonts w:cstheme="minorHAnsi"/>
          <w:sz w:val="22"/>
          <w:szCs w:val="22"/>
        </w:rPr>
        <w:t>to meet declines in demand</w:t>
      </w:r>
    </w:p>
    <w:p w14:paraId="378E9B5D" w14:textId="77777777" w:rsidR="00802AB2" w:rsidRPr="005A1667" w:rsidRDefault="00802AB2" w:rsidP="00902D26">
      <w:pPr>
        <w:pStyle w:val="ListParagraph"/>
        <w:numPr>
          <w:ilvl w:val="5"/>
          <w:numId w:val="11"/>
        </w:numPr>
        <w:rPr>
          <w:rFonts w:cstheme="minorHAnsi"/>
          <w:sz w:val="22"/>
          <w:szCs w:val="22"/>
        </w:rPr>
      </w:pPr>
      <w:r w:rsidRPr="005A1667">
        <w:rPr>
          <w:rFonts w:cstheme="minorHAnsi"/>
          <w:sz w:val="22"/>
          <w:szCs w:val="22"/>
        </w:rPr>
        <w:t>Historic load profiles are needed</w:t>
      </w:r>
    </w:p>
    <w:p w14:paraId="74EB14A6" w14:textId="77777777" w:rsidR="00802AB2" w:rsidRPr="005A1667" w:rsidRDefault="00802AB2" w:rsidP="00902D26">
      <w:pPr>
        <w:pStyle w:val="ListParagraph"/>
        <w:numPr>
          <w:ilvl w:val="3"/>
          <w:numId w:val="11"/>
        </w:numPr>
        <w:rPr>
          <w:rFonts w:cstheme="minorHAnsi"/>
          <w:sz w:val="22"/>
          <w:szCs w:val="22"/>
        </w:rPr>
      </w:pPr>
      <w:r w:rsidRPr="005A1667">
        <w:rPr>
          <w:rFonts w:cstheme="minorHAnsi"/>
          <w:sz w:val="22"/>
          <w:szCs w:val="22"/>
        </w:rPr>
        <w:t>Lack of timely utility customer payments</w:t>
      </w:r>
    </w:p>
    <w:p w14:paraId="79842AA6" w14:textId="77777777" w:rsidR="00802AB2" w:rsidRPr="005A1667" w:rsidRDefault="00802AB2" w:rsidP="00902D26">
      <w:pPr>
        <w:pStyle w:val="ListParagraph"/>
        <w:numPr>
          <w:ilvl w:val="2"/>
          <w:numId w:val="11"/>
        </w:numPr>
        <w:rPr>
          <w:rFonts w:cstheme="minorHAnsi"/>
          <w:sz w:val="22"/>
          <w:szCs w:val="22"/>
        </w:rPr>
      </w:pPr>
      <w:r w:rsidRPr="005A1667">
        <w:rPr>
          <w:rFonts w:cstheme="minorHAnsi"/>
          <w:sz w:val="22"/>
          <w:szCs w:val="22"/>
        </w:rPr>
        <w:t>Project scale sufficient to meet payback requirements</w:t>
      </w:r>
    </w:p>
    <w:p w14:paraId="5E65165E" w14:textId="77777777" w:rsidR="00802AB2" w:rsidRPr="005A1667" w:rsidRDefault="00802AB2" w:rsidP="00902D26">
      <w:pPr>
        <w:pStyle w:val="ListParagraph"/>
        <w:numPr>
          <w:ilvl w:val="3"/>
          <w:numId w:val="11"/>
        </w:numPr>
        <w:rPr>
          <w:rFonts w:cstheme="minorHAnsi"/>
          <w:sz w:val="22"/>
          <w:szCs w:val="22"/>
        </w:rPr>
      </w:pPr>
      <w:r w:rsidRPr="005A1667">
        <w:rPr>
          <w:rFonts w:cstheme="minorHAnsi"/>
          <w:sz w:val="22"/>
          <w:szCs w:val="22"/>
        </w:rPr>
        <w:t>Long payback periods may not be acceptable especially for bank financing</w:t>
      </w:r>
    </w:p>
    <w:p w14:paraId="6717FBEC" w14:textId="77777777" w:rsidR="00802AB2" w:rsidRPr="005A1667" w:rsidRDefault="00802AB2" w:rsidP="00902D26">
      <w:pPr>
        <w:pStyle w:val="ListParagraph"/>
        <w:numPr>
          <w:ilvl w:val="1"/>
          <w:numId w:val="11"/>
        </w:numPr>
        <w:rPr>
          <w:rFonts w:cstheme="minorHAnsi"/>
          <w:sz w:val="22"/>
          <w:szCs w:val="22"/>
        </w:rPr>
      </w:pPr>
      <w:r w:rsidRPr="005A1667">
        <w:rPr>
          <w:rFonts w:cstheme="minorHAnsi"/>
          <w:sz w:val="22"/>
          <w:szCs w:val="22"/>
        </w:rPr>
        <w:t>Acceptable collateral needs to be identified for community loans</w:t>
      </w:r>
    </w:p>
    <w:p w14:paraId="1E287C88" w14:textId="77777777" w:rsidR="00802AB2" w:rsidRPr="005A1667" w:rsidRDefault="00802AB2" w:rsidP="00902D26">
      <w:pPr>
        <w:pStyle w:val="ListParagraph"/>
        <w:numPr>
          <w:ilvl w:val="2"/>
          <w:numId w:val="11"/>
        </w:numPr>
        <w:rPr>
          <w:rFonts w:cstheme="minorHAnsi"/>
          <w:sz w:val="22"/>
          <w:szCs w:val="22"/>
        </w:rPr>
      </w:pPr>
      <w:r w:rsidRPr="005A1667">
        <w:rPr>
          <w:rFonts w:cstheme="minorHAnsi"/>
          <w:sz w:val="22"/>
          <w:szCs w:val="22"/>
        </w:rPr>
        <w:t xml:space="preserve">Note: (Community utility assets may have little value in an isolated community with few alternative uses.) </w:t>
      </w:r>
    </w:p>
    <w:p w14:paraId="123E212F" w14:textId="77777777" w:rsidR="00802AB2" w:rsidRPr="005A1667" w:rsidRDefault="00802AB2" w:rsidP="00902D26">
      <w:pPr>
        <w:pStyle w:val="ListParagraph"/>
        <w:numPr>
          <w:ilvl w:val="1"/>
          <w:numId w:val="11"/>
        </w:numPr>
        <w:rPr>
          <w:rFonts w:cstheme="minorHAnsi"/>
          <w:sz w:val="22"/>
          <w:szCs w:val="22"/>
        </w:rPr>
      </w:pPr>
      <w:r w:rsidRPr="005A1667">
        <w:rPr>
          <w:rFonts w:cstheme="minorHAnsi"/>
          <w:sz w:val="22"/>
          <w:szCs w:val="22"/>
        </w:rPr>
        <w:t>Acceptable bookkeeping and records need to be made available to provide background on ability to repay</w:t>
      </w:r>
    </w:p>
    <w:p w14:paraId="748BCF41" w14:textId="77777777" w:rsidR="00802AB2" w:rsidRPr="005A1667" w:rsidRDefault="00802AB2" w:rsidP="00902D26">
      <w:pPr>
        <w:pStyle w:val="ListParagraph"/>
        <w:numPr>
          <w:ilvl w:val="1"/>
          <w:numId w:val="11"/>
        </w:numPr>
        <w:rPr>
          <w:rFonts w:cstheme="minorHAnsi"/>
          <w:sz w:val="22"/>
          <w:szCs w:val="22"/>
        </w:rPr>
      </w:pPr>
      <w:r w:rsidRPr="005A1667">
        <w:rPr>
          <w:rFonts w:cstheme="minorHAnsi"/>
          <w:sz w:val="22"/>
          <w:szCs w:val="22"/>
        </w:rPr>
        <w:t>Availability of financing</w:t>
      </w:r>
    </w:p>
    <w:p w14:paraId="329ADFE2" w14:textId="77777777" w:rsidR="00802AB2" w:rsidRPr="005A1667" w:rsidRDefault="00802AB2" w:rsidP="00902D26">
      <w:pPr>
        <w:pStyle w:val="ListParagraph"/>
        <w:numPr>
          <w:ilvl w:val="2"/>
          <w:numId w:val="11"/>
        </w:numPr>
        <w:rPr>
          <w:rFonts w:cstheme="minorHAnsi"/>
          <w:sz w:val="22"/>
          <w:szCs w:val="22"/>
        </w:rPr>
      </w:pPr>
      <w:r w:rsidRPr="005A1667">
        <w:rPr>
          <w:rFonts w:cstheme="minorHAnsi"/>
          <w:sz w:val="22"/>
          <w:szCs w:val="22"/>
        </w:rPr>
        <w:t>Project of adequate size to attract pay for performance contractors</w:t>
      </w:r>
    </w:p>
    <w:p w14:paraId="7A8BB0E6" w14:textId="77777777" w:rsidR="00802AB2" w:rsidRPr="005A1667" w:rsidRDefault="00802AB2" w:rsidP="00902D26">
      <w:pPr>
        <w:pStyle w:val="ListParagraph"/>
        <w:numPr>
          <w:ilvl w:val="2"/>
          <w:numId w:val="11"/>
        </w:numPr>
        <w:rPr>
          <w:rFonts w:cstheme="minorHAnsi"/>
          <w:sz w:val="22"/>
          <w:szCs w:val="22"/>
        </w:rPr>
      </w:pPr>
      <w:r w:rsidRPr="005A1667">
        <w:rPr>
          <w:rFonts w:cstheme="minorHAnsi"/>
          <w:sz w:val="22"/>
          <w:szCs w:val="22"/>
        </w:rPr>
        <w:t>Interest rate risk</w:t>
      </w:r>
    </w:p>
    <w:p w14:paraId="5C0E528D" w14:textId="77777777" w:rsidR="00802AB2" w:rsidRPr="005A1667" w:rsidRDefault="00802AB2" w:rsidP="00902D26">
      <w:pPr>
        <w:pStyle w:val="ListParagraph"/>
        <w:numPr>
          <w:ilvl w:val="3"/>
          <w:numId w:val="11"/>
        </w:numPr>
        <w:rPr>
          <w:rFonts w:cstheme="minorHAnsi"/>
          <w:sz w:val="22"/>
          <w:szCs w:val="22"/>
        </w:rPr>
      </w:pPr>
      <w:r w:rsidRPr="005A1667">
        <w:rPr>
          <w:rFonts w:cstheme="minorHAnsi"/>
          <w:sz w:val="22"/>
          <w:szCs w:val="22"/>
        </w:rPr>
        <w:t>Overall interest rate movements</w:t>
      </w:r>
    </w:p>
    <w:p w14:paraId="2C81D3C0" w14:textId="77777777" w:rsidR="00802AB2" w:rsidRPr="005A1667" w:rsidRDefault="00802AB2" w:rsidP="00902D26">
      <w:pPr>
        <w:pStyle w:val="ListParagraph"/>
        <w:numPr>
          <w:ilvl w:val="3"/>
          <w:numId w:val="11"/>
        </w:numPr>
        <w:rPr>
          <w:rFonts w:cstheme="minorHAnsi"/>
          <w:sz w:val="22"/>
          <w:szCs w:val="22"/>
        </w:rPr>
      </w:pPr>
      <w:r w:rsidRPr="005A1667">
        <w:rPr>
          <w:rFonts w:cstheme="minorHAnsi"/>
          <w:sz w:val="22"/>
          <w:szCs w:val="22"/>
        </w:rPr>
        <w:t>Spread between selected index and the debt rate</w:t>
      </w:r>
    </w:p>
    <w:p w14:paraId="0BA52F24" w14:textId="77777777" w:rsidR="00802AB2" w:rsidRPr="005A1667" w:rsidRDefault="00802AB2" w:rsidP="00902D26">
      <w:pPr>
        <w:pStyle w:val="ListParagraph"/>
        <w:numPr>
          <w:ilvl w:val="3"/>
          <w:numId w:val="11"/>
        </w:numPr>
        <w:rPr>
          <w:rFonts w:cstheme="minorHAnsi"/>
          <w:sz w:val="22"/>
          <w:szCs w:val="22"/>
        </w:rPr>
      </w:pPr>
      <w:r w:rsidRPr="005A1667">
        <w:rPr>
          <w:rFonts w:cstheme="minorHAnsi"/>
          <w:sz w:val="22"/>
          <w:szCs w:val="22"/>
        </w:rPr>
        <w:t>Variability enough to make project infeasible</w:t>
      </w:r>
    </w:p>
    <w:p w14:paraId="5B0E2901" w14:textId="77777777" w:rsidR="00802AB2" w:rsidRPr="005A1667" w:rsidRDefault="00802AB2" w:rsidP="00902D26">
      <w:pPr>
        <w:pStyle w:val="ListParagraph"/>
        <w:numPr>
          <w:ilvl w:val="2"/>
          <w:numId w:val="11"/>
        </w:numPr>
        <w:rPr>
          <w:rFonts w:cstheme="minorHAnsi"/>
          <w:sz w:val="22"/>
          <w:szCs w:val="22"/>
        </w:rPr>
      </w:pPr>
      <w:r w:rsidRPr="005A1667">
        <w:rPr>
          <w:rFonts w:cstheme="minorHAnsi"/>
          <w:sz w:val="22"/>
          <w:szCs w:val="22"/>
        </w:rPr>
        <w:t>Cost of debt placement still allows project feasibility</w:t>
      </w:r>
    </w:p>
    <w:p w14:paraId="4947FCA8" w14:textId="77777777" w:rsidR="00802AB2" w:rsidRPr="005A1667" w:rsidRDefault="00802AB2" w:rsidP="00902D26">
      <w:pPr>
        <w:pStyle w:val="ListParagraph"/>
        <w:numPr>
          <w:ilvl w:val="0"/>
          <w:numId w:val="11"/>
        </w:numPr>
        <w:rPr>
          <w:rFonts w:cstheme="minorHAnsi"/>
          <w:sz w:val="22"/>
          <w:szCs w:val="22"/>
        </w:rPr>
      </w:pPr>
      <w:r w:rsidRPr="005A1667">
        <w:rPr>
          <w:rFonts w:cstheme="minorHAnsi"/>
          <w:sz w:val="22"/>
          <w:szCs w:val="22"/>
        </w:rPr>
        <w:t>Community’s human capital risk</w:t>
      </w:r>
    </w:p>
    <w:p w14:paraId="69B48515" w14:textId="77777777" w:rsidR="00802AB2" w:rsidRPr="005A1667" w:rsidRDefault="00802AB2" w:rsidP="00902D26">
      <w:pPr>
        <w:pStyle w:val="ListParagraph"/>
        <w:numPr>
          <w:ilvl w:val="1"/>
          <w:numId w:val="11"/>
        </w:numPr>
        <w:rPr>
          <w:rFonts w:cstheme="minorHAnsi"/>
          <w:sz w:val="22"/>
          <w:szCs w:val="22"/>
        </w:rPr>
      </w:pPr>
      <w:r w:rsidRPr="005A1667">
        <w:rPr>
          <w:rFonts w:cstheme="minorHAnsi"/>
          <w:sz w:val="22"/>
          <w:szCs w:val="22"/>
        </w:rPr>
        <w:t>Probability of utility employee turnover can be a barrier</w:t>
      </w:r>
    </w:p>
    <w:p w14:paraId="4D625E7B" w14:textId="77777777" w:rsidR="00802AB2" w:rsidRPr="005A1667" w:rsidRDefault="00802AB2" w:rsidP="00902D26">
      <w:pPr>
        <w:pStyle w:val="ListParagraph"/>
        <w:numPr>
          <w:ilvl w:val="1"/>
          <w:numId w:val="11"/>
        </w:numPr>
        <w:rPr>
          <w:rFonts w:cstheme="minorHAnsi"/>
          <w:sz w:val="22"/>
          <w:szCs w:val="22"/>
        </w:rPr>
      </w:pPr>
      <w:r w:rsidRPr="005A1667">
        <w:rPr>
          <w:rFonts w:cstheme="minorHAnsi"/>
          <w:sz w:val="22"/>
          <w:szCs w:val="22"/>
        </w:rPr>
        <w:t>Capable of managing complex distribution systems</w:t>
      </w:r>
    </w:p>
    <w:p w14:paraId="51CF6515" w14:textId="77777777" w:rsidR="00802AB2" w:rsidRPr="005A1667" w:rsidRDefault="00802AB2" w:rsidP="00902D26">
      <w:pPr>
        <w:pStyle w:val="ListParagraph"/>
        <w:numPr>
          <w:ilvl w:val="1"/>
          <w:numId w:val="11"/>
        </w:numPr>
        <w:rPr>
          <w:rFonts w:cstheme="minorHAnsi"/>
          <w:sz w:val="22"/>
          <w:szCs w:val="22"/>
        </w:rPr>
      </w:pPr>
      <w:r w:rsidRPr="005A1667">
        <w:rPr>
          <w:rFonts w:cstheme="minorHAnsi"/>
          <w:sz w:val="22"/>
          <w:szCs w:val="22"/>
        </w:rPr>
        <w:t>Capable of managing administrative and business management requirements</w:t>
      </w:r>
    </w:p>
    <w:p w14:paraId="1C65ACA6" w14:textId="77777777" w:rsidR="00802AB2" w:rsidRPr="005A1667" w:rsidRDefault="00802AB2" w:rsidP="00902D26">
      <w:pPr>
        <w:pStyle w:val="ListParagraph"/>
        <w:numPr>
          <w:ilvl w:val="0"/>
          <w:numId w:val="11"/>
        </w:numPr>
        <w:rPr>
          <w:rFonts w:cstheme="minorHAnsi"/>
          <w:sz w:val="22"/>
          <w:szCs w:val="22"/>
        </w:rPr>
      </w:pPr>
      <w:r w:rsidRPr="005A1667">
        <w:rPr>
          <w:rFonts w:cstheme="minorHAnsi"/>
          <w:sz w:val="22"/>
          <w:szCs w:val="22"/>
        </w:rPr>
        <w:t>Incentive risks</w:t>
      </w:r>
    </w:p>
    <w:p w14:paraId="039D23DD" w14:textId="77777777" w:rsidR="00802AB2" w:rsidRPr="005A1667" w:rsidRDefault="00802AB2" w:rsidP="00902D26">
      <w:pPr>
        <w:pStyle w:val="ListParagraph"/>
        <w:numPr>
          <w:ilvl w:val="1"/>
          <w:numId w:val="11"/>
        </w:numPr>
        <w:rPr>
          <w:rFonts w:cstheme="minorHAnsi"/>
          <w:sz w:val="22"/>
          <w:szCs w:val="22"/>
        </w:rPr>
      </w:pPr>
      <w:r w:rsidRPr="005A1667">
        <w:rPr>
          <w:rFonts w:cstheme="minorHAnsi"/>
          <w:sz w:val="22"/>
          <w:szCs w:val="22"/>
        </w:rPr>
        <w:t>Federal incentives declining and eliminated in the near term</w:t>
      </w:r>
    </w:p>
    <w:p w14:paraId="3E759AAB" w14:textId="77777777" w:rsidR="00802AB2" w:rsidRPr="005A1667" w:rsidRDefault="00802AB2" w:rsidP="00902D26">
      <w:pPr>
        <w:pStyle w:val="ListParagraph"/>
        <w:numPr>
          <w:ilvl w:val="1"/>
          <w:numId w:val="11"/>
        </w:numPr>
        <w:rPr>
          <w:rFonts w:cstheme="minorHAnsi"/>
          <w:sz w:val="22"/>
          <w:szCs w:val="22"/>
        </w:rPr>
      </w:pPr>
      <w:r w:rsidRPr="005A1667">
        <w:rPr>
          <w:rFonts w:cstheme="minorHAnsi"/>
          <w:sz w:val="22"/>
          <w:szCs w:val="22"/>
        </w:rPr>
        <w:t>Alaska Energy Authorities Power Cost Equalization program may reduce incentives</w:t>
      </w:r>
    </w:p>
    <w:p w14:paraId="40BB739A" w14:textId="77777777" w:rsidR="00802AB2" w:rsidRPr="005A1667" w:rsidRDefault="00802AB2" w:rsidP="00902D26">
      <w:pPr>
        <w:pStyle w:val="ListParagraph"/>
        <w:numPr>
          <w:ilvl w:val="0"/>
          <w:numId w:val="11"/>
        </w:numPr>
        <w:rPr>
          <w:rFonts w:cstheme="minorHAnsi"/>
          <w:sz w:val="22"/>
          <w:szCs w:val="22"/>
        </w:rPr>
      </w:pPr>
      <w:r w:rsidRPr="005A1667">
        <w:rPr>
          <w:rFonts w:cstheme="minorHAnsi"/>
          <w:sz w:val="22"/>
          <w:szCs w:val="22"/>
        </w:rPr>
        <w:t xml:space="preserve">Revenue risk associated: with </w:t>
      </w:r>
    </w:p>
    <w:p w14:paraId="724EC0D8" w14:textId="77777777" w:rsidR="00802AB2" w:rsidRPr="005A1667" w:rsidRDefault="00802AB2" w:rsidP="00902D26">
      <w:pPr>
        <w:pStyle w:val="ListParagraph"/>
        <w:numPr>
          <w:ilvl w:val="1"/>
          <w:numId w:val="11"/>
        </w:numPr>
        <w:rPr>
          <w:rFonts w:cstheme="minorHAnsi"/>
          <w:sz w:val="22"/>
          <w:szCs w:val="22"/>
        </w:rPr>
      </w:pPr>
      <w:r w:rsidRPr="005A1667">
        <w:rPr>
          <w:rFonts w:cstheme="minorHAnsi"/>
          <w:sz w:val="22"/>
          <w:szCs w:val="22"/>
        </w:rPr>
        <w:t>wind speed variability</w:t>
      </w:r>
    </w:p>
    <w:p w14:paraId="52491FDE" w14:textId="77777777" w:rsidR="00802AB2" w:rsidRPr="005A1667" w:rsidRDefault="00802AB2" w:rsidP="00902D26">
      <w:pPr>
        <w:pStyle w:val="ListParagraph"/>
        <w:numPr>
          <w:ilvl w:val="1"/>
          <w:numId w:val="11"/>
        </w:numPr>
        <w:rPr>
          <w:rFonts w:cstheme="minorHAnsi"/>
          <w:sz w:val="22"/>
          <w:szCs w:val="22"/>
        </w:rPr>
      </w:pPr>
      <w:r w:rsidRPr="005A1667">
        <w:rPr>
          <w:rFonts w:cstheme="minorHAnsi"/>
          <w:sz w:val="22"/>
          <w:szCs w:val="22"/>
        </w:rPr>
        <w:t>insolation variability</w:t>
      </w:r>
    </w:p>
    <w:p w14:paraId="5A587C29" w14:textId="77777777" w:rsidR="00802AB2" w:rsidRPr="005A1667" w:rsidRDefault="00802AB2" w:rsidP="00902D26">
      <w:pPr>
        <w:pStyle w:val="ListParagraph"/>
        <w:numPr>
          <w:ilvl w:val="1"/>
          <w:numId w:val="11"/>
        </w:numPr>
        <w:rPr>
          <w:rFonts w:cstheme="minorHAnsi"/>
          <w:sz w:val="22"/>
          <w:szCs w:val="22"/>
        </w:rPr>
      </w:pPr>
      <w:r w:rsidRPr="005A1667">
        <w:rPr>
          <w:rFonts w:cstheme="minorHAnsi"/>
          <w:sz w:val="22"/>
          <w:szCs w:val="22"/>
        </w:rPr>
        <w:t>system downtime</w:t>
      </w:r>
    </w:p>
    <w:p w14:paraId="0FA01C0C" w14:textId="77777777" w:rsidR="00802AB2" w:rsidRPr="005A1667" w:rsidRDefault="00802AB2" w:rsidP="00902D26">
      <w:pPr>
        <w:pStyle w:val="ListParagraph"/>
        <w:numPr>
          <w:ilvl w:val="1"/>
          <w:numId w:val="11"/>
        </w:numPr>
        <w:rPr>
          <w:rFonts w:cstheme="minorHAnsi"/>
          <w:sz w:val="22"/>
          <w:szCs w:val="22"/>
        </w:rPr>
      </w:pPr>
      <w:r w:rsidRPr="005A1667">
        <w:rPr>
          <w:rFonts w:cstheme="minorHAnsi"/>
          <w:sz w:val="22"/>
          <w:szCs w:val="22"/>
        </w:rPr>
        <w:t>equipment failure</w:t>
      </w:r>
    </w:p>
    <w:p w14:paraId="0C60A219" w14:textId="77777777" w:rsidR="00802AB2" w:rsidRPr="005A1667" w:rsidRDefault="00802AB2" w:rsidP="00902D26">
      <w:pPr>
        <w:pStyle w:val="ListParagraph"/>
        <w:numPr>
          <w:ilvl w:val="2"/>
          <w:numId w:val="11"/>
        </w:numPr>
        <w:rPr>
          <w:rFonts w:cstheme="minorHAnsi"/>
          <w:sz w:val="22"/>
          <w:szCs w:val="22"/>
        </w:rPr>
      </w:pPr>
      <w:r w:rsidRPr="005A1667">
        <w:rPr>
          <w:rFonts w:cstheme="minorHAnsi"/>
          <w:sz w:val="22"/>
          <w:szCs w:val="22"/>
        </w:rPr>
        <w:t>Time to repair acceptable?</w:t>
      </w:r>
    </w:p>
    <w:p w14:paraId="72375339" w14:textId="77777777" w:rsidR="00802AB2" w:rsidRPr="005A1667" w:rsidRDefault="00802AB2" w:rsidP="00902D26">
      <w:pPr>
        <w:pStyle w:val="ListParagraph"/>
        <w:numPr>
          <w:ilvl w:val="0"/>
          <w:numId w:val="11"/>
        </w:numPr>
        <w:rPr>
          <w:rFonts w:cstheme="minorHAnsi"/>
          <w:sz w:val="22"/>
          <w:szCs w:val="22"/>
        </w:rPr>
      </w:pPr>
      <w:r w:rsidRPr="005A1667">
        <w:rPr>
          <w:rFonts w:cstheme="minorHAnsi"/>
          <w:sz w:val="22"/>
          <w:szCs w:val="22"/>
        </w:rPr>
        <w:t>Technical risk</w:t>
      </w:r>
    </w:p>
    <w:p w14:paraId="4F80B01C" w14:textId="77777777" w:rsidR="00802AB2" w:rsidRPr="005A1667" w:rsidRDefault="00802AB2" w:rsidP="00902D26">
      <w:pPr>
        <w:pStyle w:val="ListParagraph"/>
        <w:numPr>
          <w:ilvl w:val="1"/>
          <w:numId w:val="11"/>
        </w:numPr>
        <w:rPr>
          <w:rFonts w:cstheme="minorHAnsi"/>
          <w:sz w:val="22"/>
          <w:szCs w:val="22"/>
        </w:rPr>
      </w:pPr>
      <w:r w:rsidRPr="005A1667">
        <w:rPr>
          <w:rFonts w:cstheme="minorHAnsi"/>
          <w:sz w:val="22"/>
          <w:szCs w:val="22"/>
        </w:rPr>
        <w:t>Impact of construction schedule slippage</w:t>
      </w:r>
    </w:p>
    <w:p w14:paraId="16F10C7F" w14:textId="77777777" w:rsidR="00802AB2" w:rsidRPr="005A1667" w:rsidRDefault="00802AB2" w:rsidP="00902D26">
      <w:pPr>
        <w:pStyle w:val="ListParagraph"/>
        <w:numPr>
          <w:ilvl w:val="1"/>
          <w:numId w:val="11"/>
        </w:numPr>
        <w:rPr>
          <w:rFonts w:cstheme="minorHAnsi"/>
          <w:sz w:val="22"/>
          <w:szCs w:val="22"/>
        </w:rPr>
      </w:pPr>
      <w:r w:rsidRPr="005A1667">
        <w:rPr>
          <w:rFonts w:cstheme="minorHAnsi"/>
          <w:sz w:val="22"/>
          <w:szCs w:val="22"/>
        </w:rPr>
        <w:t>Impact of construction cost overruns</w:t>
      </w:r>
    </w:p>
    <w:p w14:paraId="38793450" w14:textId="77777777" w:rsidR="00802AB2" w:rsidRPr="005A1667" w:rsidRDefault="00802AB2" w:rsidP="00902D26">
      <w:pPr>
        <w:pStyle w:val="ListParagraph"/>
        <w:numPr>
          <w:ilvl w:val="1"/>
          <w:numId w:val="11"/>
        </w:numPr>
        <w:rPr>
          <w:rFonts w:cstheme="minorHAnsi"/>
          <w:sz w:val="22"/>
          <w:szCs w:val="22"/>
        </w:rPr>
      </w:pPr>
      <w:r w:rsidRPr="005A1667">
        <w:rPr>
          <w:rFonts w:cstheme="minorHAnsi"/>
          <w:sz w:val="22"/>
          <w:szCs w:val="22"/>
        </w:rPr>
        <w:t>Failure of system to work as designed</w:t>
      </w:r>
    </w:p>
    <w:p w14:paraId="1CD8A22D" w14:textId="77777777" w:rsidR="00802AB2" w:rsidRPr="005A1667" w:rsidRDefault="00802AB2" w:rsidP="00902D26">
      <w:pPr>
        <w:pStyle w:val="ListParagraph"/>
        <w:numPr>
          <w:ilvl w:val="1"/>
          <w:numId w:val="11"/>
        </w:numPr>
        <w:rPr>
          <w:rFonts w:cstheme="minorHAnsi"/>
          <w:sz w:val="22"/>
          <w:szCs w:val="22"/>
        </w:rPr>
      </w:pPr>
      <w:r w:rsidRPr="005A1667">
        <w:rPr>
          <w:rFonts w:cstheme="minorHAnsi"/>
          <w:sz w:val="22"/>
          <w:szCs w:val="22"/>
        </w:rPr>
        <w:t>Fixes necessary make project infeasible?</w:t>
      </w:r>
    </w:p>
    <w:p w14:paraId="3DD26C45" w14:textId="77777777" w:rsidR="00802AB2" w:rsidRPr="005A1667" w:rsidRDefault="00802AB2" w:rsidP="00902D26">
      <w:pPr>
        <w:pStyle w:val="ListParagraph"/>
        <w:numPr>
          <w:ilvl w:val="1"/>
          <w:numId w:val="11"/>
        </w:numPr>
        <w:rPr>
          <w:rFonts w:cstheme="minorHAnsi"/>
          <w:sz w:val="22"/>
          <w:szCs w:val="22"/>
        </w:rPr>
      </w:pPr>
      <w:r w:rsidRPr="005A1667">
        <w:rPr>
          <w:rFonts w:cstheme="minorHAnsi"/>
          <w:sz w:val="22"/>
          <w:szCs w:val="22"/>
        </w:rPr>
        <w:t>Are O&amp;M requirements understood and a maintenance plan in place?</w:t>
      </w:r>
    </w:p>
    <w:p w14:paraId="4C905753" w14:textId="77777777" w:rsidR="00802AB2" w:rsidRPr="005A1667" w:rsidRDefault="00802AB2" w:rsidP="00902D26">
      <w:pPr>
        <w:pStyle w:val="ListParagraph"/>
        <w:numPr>
          <w:ilvl w:val="0"/>
          <w:numId w:val="11"/>
        </w:numPr>
        <w:rPr>
          <w:rFonts w:cstheme="minorHAnsi"/>
          <w:sz w:val="22"/>
          <w:szCs w:val="22"/>
        </w:rPr>
      </w:pPr>
      <w:r w:rsidRPr="005A1667">
        <w:rPr>
          <w:rFonts w:cstheme="minorHAnsi"/>
          <w:sz w:val="22"/>
          <w:szCs w:val="22"/>
        </w:rPr>
        <w:t xml:space="preserve">Cost risk </w:t>
      </w:r>
    </w:p>
    <w:p w14:paraId="5872F733" w14:textId="77777777" w:rsidR="00802AB2" w:rsidRPr="005A1667" w:rsidRDefault="00802AB2" w:rsidP="00902D26">
      <w:pPr>
        <w:pStyle w:val="ListParagraph"/>
        <w:numPr>
          <w:ilvl w:val="1"/>
          <w:numId w:val="11"/>
        </w:numPr>
        <w:rPr>
          <w:rFonts w:cstheme="minorHAnsi"/>
          <w:sz w:val="22"/>
          <w:szCs w:val="22"/>
        </w:rPr>
      </w:pPr>
      <w:r w:rsidRPr="005A1667">
        <w:rPr>
          <w:rFonts w:cstheme="minorHAnsi"/>
          <w:sz w:val="22"/>
          <w:szCs w:val="22"/>
        </w:rPr>
        <w:t>Unexpected cost escalation</w:t>
      </w:r>
    </w:p>
    <w:p w14:paraId="4D823685" w14:textId="77777777" w:rsidR="00802AB2" w:rsidRPr="005A1667" w:rsidRDefault="00802AB2" w:rsidP="00902D26">
      <w:pPr>
        <w:pStyle w:val="ListParagraph"/>
        <w:numPr>
          <w:ilvl w:val="2"/>
          <w:numId w:val="11"/>
        </w:numPr>
        <w:rPr>
          <w:rFonts w:cstheme="minorHAnsi"/>
          <w:sz w:val="22"/>
          <w:szCs w:val="22"/>
        </w:rPr>
      </w:pPr>
      <w:r w:rsidRPr="005A1667">
        <w:rPr>
          <w:rFonts w:cstheme="minorHAnsi"/>
          <w:sz w:val="22"/>
          <w:szCs w:val="22"/>
        </w:rPr>
        <w:t>Labor</w:t>
      </w:r>
    </w:p>
    <w:p w14:paraId="177261BD" w14:textId="77777777" w:rsidR="00802AB2" w:rsidRPr="005A1667" w:rsidRDefault="00802AB2" w:rsidP="00902D26">
      <w:pPr>
        <w:pStyle w:val="ListParagraph"/>
        <w:numPr>
          <w:ilvl w:val="2"/>
          <w:numId w:val="11"/>
        </w:numPr>
        <w:rPr>
          <w:rFonts w:cstheme="minorHAnsi"/>
          <w:sz w:val="22"/>
          <w:szCs w:val="22"/>
        </w:rPr>
      </w:pPr>
      <w:r w:rsidRPr="005A1667">
        <w:rPr>
          <w:rFonts w:cstheme="minorHAnsi"/>
          <w:sz w:val="22"/>
          <w:szCs w:val="22"/>
        </w:rPr>
        <w:t>Materials</w:t>
      </w:r>
    </w:p>
    <w:p w14:paraId="1A1C45D6" w14:textId="77777777" w:rsidR="00802AB2" w:rsidRPr="005A1667" w:rsidRDefault="00802AB2" w:rsidP="00902D26">
      <w:pPr>
        <w:pStyle w:val="ListParagraph"/>
        <w:numPr>
          <w:ilvl w:val="2"/>
          <w:numId w:val="11"/>
        </w:numPr>
        <w:rPr>
          <w:rFonts w:cstheme="minorHAnsi"/>
          <w:sz w:val="22"/>
          <w:szCs w:val="22"/>
        </w:rPr>
      </w:pPr>
      <w:r w:rsidRPr="005A1667">
        <w:rPr>
          <w:rFonts w:cstheme="minorHAnsi"/>
          <w:sz w:val="22"/>
          <w:szCs w:val="22"/>
        </w:rPr>
        <w:t>Supplies</w:t>
      </w:r>
    </w:p>
    <w:p w14:paraId="49AFE2BB" w14:textId="77777777" w:rsidR="00802AB2" w:rsidRPr="005A1667" w:rsidRDefault="00802AB2" w:rsidP="00902D26">
      <w:pPr>
        <w:pStyle w:val="ListParagraph"/>
        <w:numPr>
          <w:ilvl w:val="1"/>
          <w:numId w:val="11"/>
        </w:numPr>
        <w:rPr>
          <w:rFonts w:cstheme="minorHAnsi"/>
          <w:sz w:val="22"/>
          <w:szCs w:val="22"/>
        </w:rPr>
      </w:pPr>
      <w:r w:rsidRPr="005A1667">
        <w:rPr>
          <w:rFonts w:cstheme="minorHAnsi"/>
          <w:sz w:val="22"/>
          <w:szCs w:val="22"/>
        </w:rPr>
        <w:t>Higher operating costs than expected</w:t>
      </w:r>
    </w:p>
    <w:p w14:paraId="7B99FE6A" w14:textId="77777777" w:rsidR="00802AB2" w:rsidRPr="005A1667" w:rsidRDefault="00802AB2" w:rsidP="00902D26">
      <w:pPr>
        <w:pStyle w:val="ListParagraph"/>
        <w:numPr>
          <w:ilvl w:val="2"/>
          <w:numId w:val="11"/>
        </w:numPr>
        <w:rPr>
          <w:rFonts w:cstheme="minorHAnsi"/>
          <w:sz w:val="22"/>
          <w:szCs w:val="22"/>
        </w:rPr>
      </w:pPr>
      <w:r w:rsidRPr="005A1667">
        <w:rPr>
          <w:rFonts w:cstheme="minorHAnsi"/>
          <w:sz w:val="22"/>
          <w:szCs w:val="22"/>
        </w:rPr>
        <w:t>Remote location risk</w:t>
      </w:r>
    </w:p>
    <w:p w14:paraId="5DC22A95" w14:textId="77777777" w:rsidR="00802AB2" w:rsidRPr="005A1667" w:rsidRDefault="00802AB2" w:rsidP="00902D26">
      <w:pPr>
        <w:pStyle w:val="ListParagraph"/>
        <w:numPr>
          <w:ilvl w:val="3"/>
          <w:numId w:val="11"/>
        </w:numPr>
        <w:rPr>
          <w:rFonts w:cstheme="minorHAnsi"/>
          <w:sz w:val="22"/>
          <w:szCs w:val="22"/>
        </w:rPr>
      </w:pPr>
      <w:r w:rsidRPr="005A1667">
        <w:rPr>
          <w:rFonts w:cstheme="minorHAnsi"/>
          <w:sz w:val="22"/>
          <w:szCs w:val="22"/>
        </w:rPr>
        <w:t>Added costs and range of costs</w:t>
      </w:r>
    </w:p>
    <w:p w14:paraId="7CE87C8D" w14:textId="77777777" w:rsidR="00802AB2" w:rsidRPr="005A1667" w:rsidRDefault="00802AB2" w:rsidP="00902D26">
      <w:pPr>
        <w:pStyle w:val="ListParagraph"/>
        <w:numPr>
          <w:ilvl w:val="1"/>
          <w:numId w:val="11"/>
        </w:numPr>
        <w:rPr>
          <w:rFonts w:cstheme="minorHAnsi"/>
          <w:sz w:val="22"/>
          <w:szCs w:val="22"/>
        </w:rPr>
      </w:pPr>
      <w:r w:rsidRPr="005A1667">
        <w:rPr>
          <w:rFonts w:cstheme="minorHAnsi"/>
          <w:sz w:val="22"/>
          <w:szCs w:val="22"/>
        </w:rPr>
        <w:t>Change in tax rates</w:t>
      </w:r>
    </w:p>
    <w:p w14:paraId="7DFF3909" w14:textId="77777777" w:rsidR="00802AB2" w:rsidRPr="005A1667" w:rsidRDefault="00802AB2" w:rsidP="00902D26">
      <w:pPr>
        <w:pStyle w:val="ListParagraph"/>
        <w:numPr>
          <w:ilvl w:val="0"/>
          <w:numId w:val="11"/>
        </w:numPr>
        <w:rPr>
          <w:rFonts w:cstheme="minorHAnsi"/>
          <w:sz w:val="22"/>
          <w:szCs w:val="22"/>
        </w:rPr>
      </w:pPr>
      <w:r w:rsidRPr="005A1667">
        <w:rPr>
          <w:rFonts w:cstheme="minorHAnsi"/>
          <w:sz w:val="22"/>
          <w:szCs w:val="22"/>
        </w:rPr>
        <w:lastRenderedPageBreak/>
        <w:t>Regulatory risk</w:t>
      </w:r>
    </w:p>
    <w:p w14:paraId="433C0C60" w14:textId="77777777" w:rsidR="00802AB2" w:rsidRPr="005A1667" w:rsidRDefault="00802AB2" w:rsidP="00902D26">
      <w:pPr>
        <w:pStyle w:val="ListParagraph"/>
        <w:numPr>
          <w:ilvl w:val="1"/>
          <w:numId w:val="11"/>
        </w:numPr>
        <w:rPr>
          <w:rFonts w:cstheme="minorHAnsi"/>
          <w:sz w:val="22"/>
          <w:szCs w:val="22"/>
        </w:rPr>
      </w:pPr>
      <w:r w:rsidRPr="005A1667">
        <w:rPr>
          <w:rFonts w:cstheme="minorHAnsi"/>
          <w:sz w:val="22"/>
          <w:szCs w:val="22"/>
        </w:rPr>
        <w:t xml:space="preserve">Permitting risk </w:t>
      </w:r>
    </w:p>
    <w:p w14:paraId="71B38D52" w14:textId="77777777" w:rsidR="00802AB2" w:rsidRPr="005A1667" w:rsidRDefault="00802AB2" w:rsidP="00902D26">
      <w:pPr>
        <w:pStyle w:val="ListParagraph"/>
        <w:numPr>
          <w:ilvl w:val="2"/>
          <w:numId w:val="11"/>
        </w:numPr>
        <w:rPr>
          <w:rFonts w:cstheme="minorHAnsi"/>
          <w:sz w:val="22"/>
          <w:szCs w:val="22"/>
        </w:rPr>
      </w:pPr>
      <w:r w:rsidRPr="005A1667">
        <w:rPr>
          <w:rFonts w:cstheme="minorHAnsi"/>
          <w:sz w:val="22"/>
          <w:szCs w:val="22"/>
        </w:rPr>
        <w:t>What permits are required</w:t>
      </w:r>
    </w:p>
    <w:p w14:paraId="104189D0" w14:textId="77777777" w:rsidR="00802AB2" w:rsidRPr="005A1667" w:rsidRDefault="00802AB2" w:rsidP="00902D26">
      <w:pPr>
        <w:pStyle w:val="ListParagraph"/>
        <w:numPr>
          <w:ilvl w:val="2"/>
          <w:numId w:val="11"/>
        </w:numPr>
        <w:rPr>
          <w:rFonts w:cstheme="minorHAnsi"/>
          <w:sz w:val="22"/>
          <w:szCs w:val="22"/>
        </w:rPr>
      </w:pPr>
      <w:r w:rsidRPr="005A1667">
        <w:rPr>
          <w:rFonts w:cstheme="minorHAnsi"/>
          <w:sz w:val="22"/>
          <w:szCs w:val="22"/>
        </w:rPr>
        <w:t>Issues in getting permits</w:t>
      </w:r>
    </w:p>
    <w:p w14:paraId="3D50B054" w14:textId="77777777" w:rsidR="00802AB2" w:rsidRPr="005A1667" w:rsidRDefault="00802AB2" w:rsidP="00902D26">
      <w:pPr>
        <w:pStyle w:val="ListParagraph"/>
        <w:numPr>
          <w:ilvl w:val="2"/>
          <w:numId w:val="11"/>
        </w:numPr>
        <w:rPr>
          <w:rFonts w:cstheme="minorHAnsi"/>
          <w:sz w:val="22"/>
          <w:szCs w:val="22"/>
        </w:rPr>
      </w:pPr>
      <w:r w:rsidRPr="005A1667">
        <w:rPr>
          <w:rFonts w:cstheme="minorHAnsi"/>
          <w:sz w:val="22"/>
          <w:szCs w:val="22"/>
        </w:rPr>
        <w:t xml:space="preserve">Time to completion fixed or open-ended </w:t>
      </w:r>
    </w:p>
    <w:p w14:paraId="5B895018" w14:textId="77777777" w:rsidR="00802AB2" w:rsidRPr="005A1667" w:rsidRDefault="00802AB2" w:rsidP="00902D26">
      <w:pPr>
        <w:pStyle w:val="ListParagraph"/>
        <w:numPr>
          <w:ilvl w:val="1"/>
          <w:numId w:val="11"/>
        </w:numPr>
        <w:rPr>
          <w:rFonts w:cstheme="minorHAnsi"/>
          <w:sz w:val="22"/>
          <w:szCs w:val="22"/>
        </w:rPr>
      </w:pPr>
      <w:r w:rsidRPr="005A1667">
        <w:rPr>
          <w:rFonts w:cstheme="minorHAnsi"/>
          <w:sz w:val="22"/>
          <w:szCs w:val="22"/>
        </w:rPr>
        <w:t>Change in law or regulation risk</w:t>
      </w:r>
    </w:p>
    <w:p w14:paraId="3DD290CB" w14:textId="77777777" w:rsidR="00802AB2" w:rsidRPr="005A1667" w:rsidRDefault="00802AB2" w:rsidP="00902D26">
      <w:pPr>
        <w:pStyle w:val="ListParagraph"/>
        <w:numPr>
          <w:ilvl w:val="0"/>
          <w:numId w:val="11"/>
        </w:numPr>
        <w:rPr>
          <w:rFonts w:cstheme="minorHAnsi"/>
          <w:sz w:val="22"/>
          <w:szCs w:val="22"/>
        </w:rPr>
      </w:pPr>
      <w:r w:rsidRPr="005A1667">
        <w:rPr>
          <w:rFonts w:cstheme="minorHAnsi"/>
          <w:sz w:val="22"/>
          <w:szCs w:val="22"/>
        </w:rPr>
        <w:t>Schedule risk</w:t>
      </w:r>
    </w:p>
    <w:p w14:paraId="5209A10C" w14:textId="77777777" w:rsidR="00802AB2" w:rsidRPr="005A1667" w:rsidRDefault="00802AB2" w:rsidP="00902D26">
      <w:pPr>
        <w:pStyle w:val="ListParagraph"/>
        <w:numPr>
          <w:ilvl w:val="1"/>
          <w:numId w:val="11"/>
        </w:numPr>
        <w:rPr>
          <w:rFonts w:cstheme="minorHAnsi"/>
          <w:sz w:val="22"/>
          <w:szCs w:val="22"/>
        </w:rPr>
      </w:pPr>
      <w:r w:rsidRPr="005A1667">
        <w:rPr>
          <w:rFonts w:cstheme="minorHAnsi"/>
          <w:sz w:val="22"/>
          <w:szCs w:val="22"/>
        </w:rPr>
        <w:t>Impact of federal tax incentives to slipping construction start dates</w:t>
      </w:r>
    </w:p>
    <w:p w14:paraId="56743960" w14:textId="77777777" w:rsidR="00802AB2" w:rsidRPr="005A1667" w:rsidRDefault="00802AB2" w:rsidP="00902D26">
      <w:pPr>
        <w:pStyle w:val="ListParagraph"/>
        <w:numPr>
          <w:ilvl w:val="1"/>
          <w:numId w:val="11"/>
        </w:numPr>
        <w:rPr>
          <w:rFonts w:cstheme="minorHAnsi"/>
          <w:sz w:val="22"/>
          <w:szCs w:val="22"/>
        </w:rPr>
      </w:pPr>
      <w:r w:rsidRPr="005A1667">
        <w:rPr>
          <w:rFonts w:cstheme="minorHAnsi"/>
          <w:sz w:val="22"/>
          <w:szCs w:val="22"/>
        </w:rPr>
        <w:t>Potential cost risk of slipping schedules</w:t>
      </w:r>
    </w:p>
    <w:p w14:paraId="43CA06EB" w14:textId="77777777" w:rsidR="00802AB2" w:rsidRPr="005A1667" w:rsidRDefault="00802AB2" w:rsidP="00902D26">
      <w:pPr>
        <w:pStyle w:val="ListParagraph"/>
        <w:numPr>
          <w:ilvl w:val="0"/>
          <w:numId w:val="11"/>
        </w:numPr>
        <w:rPr>
          <w:rFonts w:cstheme="minorHAnsi"/>
          <w:sz w:val="22"/>
          <w:szCs w:val="22"/>
        </w:rPr>
      </w:pPr>
      <w:r w:rsidRPr="005A1667">
        <w:rPr>
          <w:rFonts w:cstheme="minorHAnsi"/>
          <w:sz w:val="22"/>
          <w:szCs w:val="22"/>
        </w:rPr>
        <w:t>Impact cold weather on operations and costs</w:t>
      </w:r>
    </w:p>
    <w:p w14:paraId="3878468E" w14:textId="77777777" w:rsidR="00802AB2" w:rsidRPr="005A1667" w:rsidRDefault="00802AB2" w:rsidP="00902D26">
      <w:pPr>
        <w:pStyle w:val="ListParagraph"/>
        <w:numPr>
          <w:ilvl w:val="0"/>
          <w:numId w:val="11"/>
        </w:numPr>
        <w:rPr>
          <w:rFonts w:cstheme="minorHAnsi"/>
          <w:sz w:val="22"/>
          <w:szCs w:val="22"/>
        </w:rPr>
      </w:pPr>
      <w:r w:rsidRPr="005A1667">
        <w:rPr>
          <w:rFonts w:cstheme="minorHAnsi"/>
          <w:sz w:val="22"/>
          <w:szCs w:val="22"/>
        </w:rPr>
        <w:t>Contracting risk (if third party constructs or constructs and operates)</w:t>
      </w:r>
    </w:p>
    <w:p w14:paraId="79377F9D" w14:textId="77777777" w:rsidR="00802AB2" w:rsidRPr="005A1667" w:rsidRDefault="00802AB2" w:rsidP="00902D26">
      <w:pPr>
        <w:pStyle w:val="ListParagraph"/>
        <w:numPr>
          <w:ilvl w:val="1"/>
          <w:numId w:val="11"/>
        </w:numPr>
        <w:rPr>
          <w:rFonts w:cstheme="minorHAnsi"/>
          <w:sz w:val="22"/>
          <w:szCs w:val="22"/>
        </w:rPr>
      </w:pPr>
      <w:r w:rsidRPr="005A1667">
        <w:rPr>
          <w:rFonts w:cstheme="minorHAnsi"/>
          <w:sz w:val="22"/>
          <w:szCs w:val="22"/>
        </w:rPr>
        <w:t>Dispute resolution defined?</w:t>
      </w:r>
    </w:p>
    <w:p w14:paraId="6127958E" w14:textId="77777777" w:rsidR="00802AB2" w:rsidRPr="005A1667" w:rsidRDefault="00802AB2" w:rsidP="00902D26">
      <w:pPr>
        <w:pStyle w:val="ListParagraph"/>
        <w:numPr>
          <w:ilvl w:val="1"/>
          <w:numId w:val="11"/>
        </w:numPr>
        <w:rPr>
          <w:rFonts w:cstheme="minorHAnsi"/>
          <w:sz w:val="22"/>
          <w:szCs w:val="22"/>
        </w:rPr>
      </w:pPr>
      <w:r w:rsidRPr="005A1667">
        <w:rPr>
          <w:rFonts w:cstheme="minorHAnsi"/>
          <w:sz w:val="22"/>
          <w:szCs w:val="22"/>
        </w:rPr>
        <w:t>Community default consequences?</w:t>
      </w:r>
    </w:p>
    <w:p w14:paraId="46A15B9A" w14:textId="77777777" w:rsidR="00802AB2" w:rsidRPr="005A1667" w:rsidRDefault="00802AB2" w:rsidP="002267D8">
      <w:pPr>
        <w:pStyle w:val="ListParagraph"/>
        <w:numPr>
          <w:ilvl w:val="1"/>
          <w:numId w:val="11"/>
        </w:numPr>
        <w:ind w:left="1080" w:firstLine="0"/>
        <w:rPr>
          <w:rFonts w:cstheme="minorHAnsi"/>
          <w:sz w:val="22"/>
          <w:szCs w:val="22"/>
        </w:rPr>
      </w:pPr>
      <w:r w:rsidRPr="005A1667">
        <w:rPr>
          <w:rFonts w:cstheme="minorHAnsi"/>
          <w:sz w:val="22"/>
          <w:szCs w:val="22"/>
        </w:rPr>
        <w:t>Contractor default consequences?</w:t>
      </w:r>
    </w:p>
    <w:p w14:paraId="3743F5D1" w14:textId="77777777" w:rsidR="00802AB2" w:rsidRPr="005A1667" w:rsidRDefault="00802AB2" w:rsidP="002267D8">
      <w:pPr>
        <w:pStyle w:val="ListBullet"/>
        <w:tabs>
          <w:tab w:val="clear" w:pos="360"/>
        </w:tabs>
        <w:spacing w:before="0"/>
        <w:ind w:left="720" w:hanging="360"/>
      </w:pPr>
      <w:r w:rsidRPr="005A1667">
        <w:t>Termination provisions defined?</w:t>
      </w:r>
    </w:p>
    <w:p w14:paraId="21742677" w14:textId="77777777" w:rsidR="006761C3" w:rsidRPr="00F75FE5" w:rsidRDefault="006761C3" w:rsidP="00802AB2">
      <w:pPr>
        <w:pStyle w:val="BodyText"/>
      </w:pPr>
    </w:p>
    <w:p w14:paraId="1E3C8FFC" w14:textId="146C7CE8" w:rsidR="00095D04" w:rsidRDefault="00095D04">
      <w:pPr>
        <w:tabs>
          <w:tab w:val="clear" w:pos="360"/>
          <w:tab w:val="clear" w:pos="720"/>
          <w:tab w:val="clear" w:pos="1080"/>
        </w:tabs>
        <w:rPr>
          <w:rFonts w:ascii="Arial" w:hAnsi="Arial"/>
          <w:b/>
          <w:kern w:val="28"/>
          <w:sz w:val="32"/>
        </w:rPr>
      </w:pPr>
      <w:r>
        <w:br w:type="page"/>
      </w:r>
    </w:p>
    <w:p w14:paraId="6B8C4070" w14:textId="77777777" w:rsidR="00BE6CF9" w:rsidRPr="00F87603" w:rsidRDefault="00BE6CF9" w:rsidP="00BE6CF9">
      <w:pPr>
        <w:rPr>
          <w:rFonts w:asciiTheme="majorHAnsi" w:hAnsiTheme="majorHAnsi" w:cstheme="majorHAnsi"/>
        </w:rPr>
      </w:pPr>
    </w:p>
    <w:p w14:paraId="7E90E6B8" w14:textId="77777777" w:rsidR="00E12AF4" w:rsidRPr="00F87603" w:rsidRDefault="00E12AF4" w:rsidP="00BE6CF9">
      <w:pPr>
        <w:rPr>
          <w:rFonts w:asciiTheme="majorHAnsi" w:hAnsiTheme="majorHAnsi" w:cstheme="majorHAnsi"/>
        </w:rPr>
        <w:sectPr w:rsidR="00E12AF4" w:rsidRPr="00F87603" w:rsidSect="00F75FE5">
          <w:footnotePr>
            <w:numRestart w:val="eachPage"/>
          </w:footnotePr>
          <w:pgSz w:w="12240" w:h="15840" w:code="1"/>
          <w:pgMar w:top="1440" w:right="1440" w:bottom="1440" w:left="1440" w:header="720" w:footer="720" w:gutter="0"/>
          <w:pgNumType w:start="1" w:chapStyle="6" w:chapSep="period"/>
          <w:cols w:space="720"/>
          <w:docGrid w:linePitch="299"/>
        </w:sectPr>
      </w:pPr>
    </w:p>
    <w:p w14:paraId="71F71DB1" w14:textId="77777777" w:rsidR="006133C3" w:rsidRPr="00F87603" w:rsidRDefault="006133C3" w:rsidP="006133C3">
      <w:pPr>
        <w:pStyle w:val="BodyText"/>
        <w:rPr>
          <w:rFonts w:asciiTheme="majorHAnsi" w:hAnsiTheme="majorHAnsi" w:cstheme="majorHAnsi"/>
        </w:rPr>
      </w:pPr>
    </w:p>
    <w:p w14:paraId="303AF55B" w14:textId="77777777" w:rsidR="00552227" w:rsidRPr="00F87603" w:rsidRDefault="00552227" w:rsidP="001A39CD">
      <w:pPr>
        <w:pStyle w:val="BodyText"/>
        <w:rPr>
          <w:rFonts w:asciiTheme="majorHAnsi" w:hAnsiTheme="majorHAnsi" w:cstheme="majorHAnsi"/>
        </w:rPr>
      </w:pPr>
    </w:p>
    <w:p w14:paraId="1C47CE23" w14:textId="48E2B1FC" w:rsidR="00832EDD" w:rsidRPr="00F87603" w:rsidRDefault="004132DE" w:rsidP="00D51645">
      <w:pPr>
        <w:rPr>
          <w:rFonts w:asciiTheme="majorHAnsi" w:hAnsiTheme="majorHAnsi" w:cstheme="majorHAnsi"/>
        </w:rPr>
      </w:pPr>
      <w:r w:rsidRPr="00F87603">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7DB7EBBF" wp14:editId="1BB9DCE4">
                <wp:simplePos x="0" y="0"/>
                <wp:positionH relativeFrom="column">
                  <wp:posOffset>165735</wp:posOffset>
                </wp:positionH>
                <wp:positionV relativeFrom="paragraph">
                  <wp:posOffset>6574790</wp:posOffset>
                </wp:positionV>
                <wp:extent cx="2117725" cy="74104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117725" cy="7410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4178A8" w14:textId="77777777" w:rsidR="00B50712" w:rsidRPr="00847D7D" w:rsidRDefault="00B50712" w:rsidP="00847D7D">
                            <w:pPr>
                              <w:spacing w:line="216" w:lineRule="auto"/>
                              <w:rPr>
                                <w:rFonts w:ascii="Arial" w:hAnsi="Arial" w:cs="Arial"/>
                                <w:sz w:val="20"/>
                                <w:szCs w:val="20"/>
                              </w:rPr>
                            </w:pPr>
                            <w:r w:rsidRPr="00847D7D">
                              <w:rPr>
                                <w:rFonts w:ascii="Arial" w:hAnsi="Arial" w:cs="Arial"/>
                                <w:sz w:val="20"/>
                                <w:szCs w:val="20"/>
                              </w:rPr>
                              <w:t>Address Line 1</w:t>
                            </w:r>
                          </w:p>
                          <w:p w14:paraId="28BE9774" w14:textId="77777777" w:rsidR="00B50712" w:rsidRPr="00847D7D" w:rsidRDefault="00B50712" w:rsidP="00847D7D">
                            <w:pPr>
                              <w:spacing w:line="216" w:lineRule="auto"/>
                              <w:rPr>
                                <w:rFonts w:ascii="Arial" w:hAnsi="Arial" w:cs="Arial"/>
                                <w:sz w:val="20"/>
                                <w:szCs w:val="20"/>
                              </w:rPr>
                            </w:pPr>
                            <w:r w:rsidRPr="00847D7D">
                              <w:rPr>
                                <w:rFonts w:ascii="Arial" w:hAnsi="Arial" w:cs="Arial"/>
                                <w:sz w:val="20"/>
                                <w:szCs w:val="20"/>
                              </w:rPr>
                              <w:t>Address Line 2</w:t>
                            </w:r>
                          </w:p>
                          <w:p w14:paraId="32C50F7D" w14:textId="77777777" w:rsidR="00B50712" w:rsidRPr="00847D7D" w:rsidRDefault="00B50712" w:rsidP="00847D7D">
                            <w:pPr>
                              <w:spacing w:line="216" w:lineRule="auto"/>
                              <w:rPr>
                                <w:rFonts w:ascii="Arial" w:hAnsi="Arial" w:cs="Arial"/>
                                <w:sz w:val="20"/>
                                <w:szCs w:val="20"/>
                              </w:rPr>
                            </w:pPr>
                            <w:r w:rsidRPr="00847D7D">
                              <w:rPr>
                                <w:rFonts w:ascii="Arial" w:hAnsi="Arial" w:cs="Arial"/>
                                <w:sz w:val="20"/>
                                <w:szCs w:val="20"/>
                              </w:rPr>
                              <w:t>City, ST Zip</w:t>
                            </w:r>
                          </w:p>
                          <w:p w14:paraId="4CEFF9CA" w14:textId="77777777" w:rsidR="00B50712" w:rsidRPr="00847D7D" w:rsidRDefault="00B50712" w:rsidP="00847D7D">
                            <w:pPr>
                              <w:spacing w:line="216" w:lineRule="auto"/>
                              <w:rPr>
                                <w:rFonts w:ascii="Arial" w:hAnsi="Arial" w:cs="Arial"/>
                                <w:sz w:val="20"/>
                                <w:szCs w:val="20"/>
                              </w:rPr>
                            </w:pPr>
                            <w:r w:rsidRPr="00847D7D">
                              <w:rPr>
                                <w:rFonts w:ascii="Arial" w:hAnsi="Arial" w:cs="Arial"/>
                                <w:sz w:val="20"/>
                                <w:szCs w:val="20"/>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B7EBBF" id="_x0000_t202" coordsize="21600,21600" o:spt="202" path="m,l,21600r21600,l21600,xe">
                <v:stroke joinstyle="miter"/>
                <v:path gradientshapeok="t" o:connecttype="rect"/>
              </v:shapetype>
              <v:shape id="Text Box 3" o:spid="_x0000_s1026" type="#_x0000_t202" style="position:absolute;margin-left:13.05pt;margin-top:517.7pt;width:166.75pt;height:58.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VHqQIAAKMFAAAOAAAAZHJzL2Uyb0RvYy54bWysVE1v2zAMvQ/YfxB0T22nTtMadQo3RYYB&#10;xVqsHXpWZKkxZouapMTOhv33UbKdZt0uHXaxKfKJIh8/Lq+6piY7YWwFKqfJSUyJUBzKSj3n9Mvj&#10;anJOiXVMlawGJXK6F5ZeLd6/u2x1JqawgboUhqATZbNW53TjnM6iyPKNaJg9AS0UGiWYhjk8mueo&#10;NKxF700dTeP4LGrBlNoAF9ai9qY30kXwL6Xg7k5KKxypc4qxufA14bv232hxybJnw/Sm4kMY7B+i&#10;aFil8NGDqxvmGNma6g9XTcUNWJDuhEMTgZQVFyEHzCaJX2XzsGFahFyQHKsPNNn/55Z/2t0bUpU5&#10;PaVEsQZL9Cg6R66hI6eenVbbDEEPGmGuQzVWedRbVPqkO2ka/8d0CNqR5/2BW++Mo3KaJPP5dEYJ&#10;R9s8TeJ05t1EL7e1se6DgIZ4IacGaxcoZbtb63roCPGPKVhVdR3qV6vfFOiz14jQAP1tlmEkKHqk&#10;jykU58dyNp8W89nF5KyYJROM6nxSFPF0crMq4iJOV8uL9PrnEOd4P/KU9KkHye1r4b3W6rOQSGVg&#10;wCtCE4tlbciOYfsxzoVygbwQIaI9SmIWb7k44EMeIb+3XO4ZGV8G5Q6Xm0qBCXy/Crv8OoYsezwW&#10;7ShvL7pu3Q2tsoZyj51ioJ80q/mqwnLeMuvumcHRwubAdeHu8CNraHMKg0TJBsz3v+k9HjserZS0&#10;OKo5td+2zAhK6o8KZ+EiSVM/2+GQYkXxYI4t62OL2jZLwHIkuJg0D6LHu3oUpYHmCbdK4V9FE1Mc&#10;386pG8Wl6xcIbiUuiiKAcJo1c7fqQXPv2lfHN+tj98SMHjraYQd9gnGoWfaqsXusv6mg2DqQVeh6&#10;T3DP6kA8boIwN8PW8qvm+BxQL7t18QsAAP//AwBQSwMEFAAGAAgAAAAhALdnr5HfAAAADAEAAA8A&#10;AABkcnMvZG93bnJldi54bWxMj8FOwzAMhu9IvENkJG4sabdWrDSdEIgriAGTdssar61onKrJ1vL2&#10;mBM7+ven35/Lzex6ccYxdJ40JAsFAqn2tqNGw+fHy909iBANWdN7Qg0/GGBTXV+VprB+onc8b2Mj&#10;uIRCYTS0MQ6FlKFu0Zmw8AMS745+dCbyODbSjmbictfLVKlcOtMRX2jNgE8t1t/bk9Pw9Xrc71bq&#10;rXl22TD5WUlya6n17c38+AAi4hz/YfjTZ3Wo2OngT2SD6DWkecIk52qZrUAwsczWOYgDR0mWJiCr&#10;Ul4+Uf0CAAD//wMAUEsBAi0AFAAGAAgAAAAhALaDOJL+AAAA4QEAABMAAAAAAAAAAAAAAAAAAAAA&#10;AFtDb250ZW50X1R5cGVzXS54bWxQSwECLQAUAAYACAAAACEAOP0h/9YAAACUAQAACwAAAAAAAAAA&#10;AAAAAAAvAQAAX3JlbHMvLnJlbHNQSwECLQAUAAYACAAAACEAWmmlR6kCAACjBQAADgAAAAAAAAAA&#10;AAAAAAAuAgAAZHJzL2Uyb0RvYy54bWxQSwECLQAUAAYACAAAACEAt2evkd8AAAAMAQAADwAAAAAA&#10;AAAAAAAAAAADBQAAZHJzL2Rvd25yZXYueG1sUEsFBgAAAAAEAAQA8wAAAA8GAAAAAA==&#10;" filled="f" stroked="f">
                <v:textbox>
                  <w:txbxContent>
                    <w:p w14:paraId="564178A8" w14:textId="77777777" w:rsidR="00B50712" w:rsidRPr="00847D7D" w:rsidRDefault="00B50712" w:rsidP="00847D7D">
                      <w:pPr>
                        <w:spacing w:line="216" w:lineRule="auto"/>
                        <w:rPr>
                          <w:rFonts w:ascii="Arial" w:hAnsi="Arial" w:cs="Arial"/>
                          <w:sz w:val="20"/>
                          <w:szCs w:val="20"/>
                        </w:rPr>
                      </w:pPr>
                      <w:r w:rsidRPr="00847D7D">
                        <w:rPr>
                          <w:rFonts w:ascii="Arial" w:hAnsi="Arial" w:cs="Arial"/>
                          <w:sz w:val="20"/>
                          <w:szCs w:val="20"/>
                        </w:rPr>
                        <w:t>Address Line 1</w:t>
                      </w:r>
                    </w:p>
                    <w:p w14:paraId="28BE9774" w14:textId="77777777" w:rsidR="00B50712" w:rsidRPr="00847D7D" w:rsidRDefault="00B50712" w:rsidP="00847D7D">
                      <w:pPr>
                        <w:spacing w:line="216" w:lineRule="auto"/>
                        <w:rPr>
                          <w:rFonts w:ascii="Arial" w:hAnsi="Arial" w:cs="Arial"/>
                          <w:sz w:val="20"/>
                          <w:szCs w:val="20"/>
                        </w:rPr>
                      </w:pPr>
                      <w:r w:rsidRPr="00847D7D">
                        <w:rPr>
                          <w:rFonts w:ascii="Arial" w:hAnsi="Arial" w:cs="Arial"/>
                          <w:sz w:val="20"/>
                          <w:szCs w:val="20"/>
                        </w:rPr>
                        <w:t>Address Line 2</w:t>
                      </w:r>
                    </w:p>
                    <w:p w14:paraId="32C50F7D" w14:textId="77777777" w:rsidR="00B50712" w:rsidRPr="00847D7D" w:rsidRDefault="00B50712" w:rsidP="00847D7D">
                      <w:pPr>
                        <w:spacing w:line="216" w:lineRule="auto"/>
                        <w:rPr>
                          <w:rFonts w:ascii="Arial" w:hAnsi="Arial" w:cs="Arial"/>
                          <w:sz w:val="20"/>
                          <w:szCs w:val="20"/>
                        </w:rPr>
                      </w:pPr>
                      <w:r w:rsidRPr="00847D7D">
                        <w:rPr>
                          <w:rFonts w:ascii="Arial" w:hAnsi="Arial" w:cs="Arial"/>
                          <w:sz w:val="20"/>
                          <w:szCs w:val="20"/>
                        </w:rPr>
                        <w:t>City, ST Zip</w:t>
                      </w:r>
                    </w:p>
                    <w:p w14:paraId="4CEFF9CA" w14:textId="77777777" w:rsidR="00B50712" w:rsidRPr="00847D7D" w:rsidRDefault="00B50712" w:rsidP="00847D7D">
                      <w:pPr>
                        <w:spacing w:line="216" w:lineRule="auto"/>
                        <w:rPr>
                          <w:rFonts w:ascii="Arial" w:hAnsi="Arial" w:cs="Arial"/>
                          <w:sz w:val="20"/>
                          <w:szCs w:val="20"/>
                        </w:rPr>
                      </w:pPr>
                      <w:r w:rsidRPr="00847D7D">
                        <w:rPr>
                          <w:rFonts w:ascii="Arial" w:hAnsi="Arial" w:cs="Arial"/>
                          <w:sz w:val="20"/>
                          <w:szCs w:val="20"/>
                        </w:rPr>
                        <w:t>Phone Number</w:t>
                      </w:r>
                    </w:p>
                  </w:txbxContent>
                </v:textbox>
                <w10:wrap type="square"/>
              </v:shape>
            </w:pict>
          </mc:Fallback>
        </mc:AlternateContent>
      </w:r>
      <w:r w:rsidRPr="00F87603">
        <w:rPr>
          <w:rFonts w:asciiTheme="majorHAnsi" w:hAnsiTheme="majorHAnsi" w:cstheme="majorHAnsi"/>
          <w:noProof/>
        </w:rPr>
        <mc:AlternateContent>
          <mc:Choice Requires="wps">
            <w:drawing>
              <wp:anchor distT="0" distB="0" distL="114300" distR="114300" simplePos="0" relativeHeight="251660288" behindDoc="0" locked="0" layoutInCell="1" allowOverlap="1" wp14:anchorId="09BBE2A5" wp14:editId="3BD2F5B3">
                <wp:simplePos x="0" y="0"/>
                <wp:positionH relativeFrom="column">
                  <wp:posOffset>166663</wp:posOffset>
                </wp:positionH>
                <wp:positionV relativeFrom="paragraph">
                  <wp:posOffset>6579870</wp:posOffset>
                </wp:positionV>
                <wp:extent cx="2738755" cy="0"/>
                <wp:effectExtent l="0" t="0" r="29845" b="25400"/>
                <wp:wrapNone/>
                <wp:docPr id="4" name="Straight Connector 4"/>
                <wp:cNvGraphicFramePr/>
                <a:graphic xmlns:a="http://schemas.openxmlformats.org/drawingml/2006/main">
                  <a:graphicData uri="http://schemas.microsoft.com/office/word/2010/wordprocessingShape">
                    <wps:wsp>
                      <wps:cNvCnPr/>
                      <wps:spPr>
                        <a:xfrm>
                          <a:off x="0" y="0"/>
                          <a:ext cx="2738755"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9067268" id="Straight Connector 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pt,518.1pt" to="228.75pt,5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o+3QEAABsEAAAOAAAAZHJzL2Uyb0RvYy54bWysU02P0zAQvSPxHyzfadKyy66ipnvoarkg&#10;qNjlB3idcWPJXxqbpv33jJ00rQCBhLg4tufNvHnPk/XD0Rp2AIzau5YvFzVn4KTvtNu3/NvL07t7&#10;zmISrhPGO2j5CSJ/2Lx9sx5CAyvfe9MBMiriYjOElvcphaaqouzBirjwARwFlUcrEh1xX3UoBqpu&#10;TbWq6w/V4LEL6CXESLePY5BvSn2lQKYvSkVIzLScektlxbK+5rXarEWzRxF6Lac2xD90YYV2RDqX&#10;ehRJsO+ofylltUQfvUoL6W3lldISigZSs6x/UvPciwBFC5kTw2xT/H9l5efDDpnuWn7DmROWnug5&#10;odD7PrGtd44M9Mhusk9DiA3Bt26H0ymGHWbRR4U2f0kOOxZvT7O3cExM0uXq7v393e0tZ/Icqy6J&#10;AWP6CN6yvGm50S7LFo04fIqJyAh6huRr49hAw7a6q+sCi97o7kkbk4NldGBrkB0EPXo6LnPzVOEK&#10;RSfjMhjKiEwkWeAoqezSycDI9hUUWZRFjHR5OC8MQkpw6cxiHKFzmqJ+5sSpzz8lTvhLV3Py8u+s&#10;o44zs3dpTrbaefxdgYsxasSTSVe68/bVd6fy2CVAE1h8nP6WPOLX55J++ac3PwAAAP//AwBQSwME&#10;FAAGAAgAAAAhAAfhuGfcAAAADAEAAA8AAABkcnMvZG93bnJldi54bWxMj81OwzAQhO9IvIO1SNyo&#10;TUpbFOJUFVIfoAUJcXPtzQ/Y68h2mvTtcQ8Ibrszo9lvq+3sLDtjiL0nCY8LAQxJe9NTK+H9bf/w&#10;DCwmRUZZTyjhghG29e1NpUrjJzrg+ZhalksolkpCl9JQch51h07FhR+Qstf44FTKa2i5CWrK5c7y&#10;Qog1d6qnfKFTA752qL+Po5PwKSY7fulmr5fq8kGHnduExkl5fzfvXoAlnNNfGK74GR3qzHTyI5nI&#10;rIRiXeRk1sXyOuXE02qzAnb6lXhd8f9P1D8AAAD//wMAUEsBAi0AFAAGAAgAAAAhALaDOJL+AAAA&#10;4QEAABMAAAAAAAAAAAAAAAAAAAAAAFtDb250ZW50X1R5cGVzXS54bWxQSwECLQAUAAYACAAAACEA&#10;OP0h/9YAAACUAQAACwAAAAAAAAAAAAAAAAAvAQAAX3JlbHMvLnJlbHNQSwECLQAUAAYACAAAACEA&#10;6Di6Pt0BAAAbBAAADgAAAAAAAAAAAAAAAAAuAgAAZHJzL2Uyb0RvYy54bWxQSwECLQAUAAYACAAA&#10;ACEAB+G4Z9wAAAAMAQAADwAAAAAAAAAAAAAAAAA3BAAAZHJzL2Rvd25yZXYueG1sUEsFBgAAAAAE&#10;AAQA8wAAAEAFAAAAAA==&#10;" strokecolor="#707276 [3213]" strokeweight="1pt"/>
            </w:pict>
          </mc:Fallback>
        </mc:AlternateContent>
      </w:r>
      <w:r w:rsidR="00847D7D" w:rsidRPr="00F87603">
        <w:rPr>
          <w:rFonts w:asciiTheme="majorHAnsi" w:hAnsiTheme="majorHAnsi" w:cstheme="majorHAnsi"/>
        </w:rPr>
        <w:softHyphen/>
      </w:r>
      <w:r w:rsidR="00847D7D" w:rsidRPr="00F87603">
        <w:rPr>
          <w:rFonts w:asciiTheme="majorHAnsi" w:hAnsiTheme="majorHAnsi" w:cstheme="majorHAnsi"/>
        </w:rPr>
        <w:softHyphen/>
      </w:r>
    </w:p>
    <w:sectPr w:rsidR="00832EDD" w:rsidRPr="00F87603" w:rsidSect="004018FD">
      <w:headerReference w:type="default" r:id="rId26"/>
      <w:footerReference w:type="default" r:id="rId27"/>
      <w:footnotePr>
        <w:numRestart w:val="eachPage"/>
      </w:footnotePr>
      <w:type w:val="evenPage"/>
      <w:pgSz w:w="12240" w:h="15840" w:code="1"/>
      <w:pgMar w:top="1440" w:right="1440" w:bottom="1440" w:left="1440" w:header="720" w:footer="720" w:gutter="0"/>
      <w:pgNumType w:start="1" w:chapSep="period"/>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72600" w14:textId="77777777" w:rsidR="00D2187A" w:rsidRDefault="00D2187A">
      <w:r>
        <w:separator/>
      </w:r>
    </w:p>
  </w:endnote>
  <w:endnote w:type="continuationSeparator" w:id="0">
    <w:p w14:paraId="4607C66C" w14:textId="77777777" w:rsidR="00D2187A" w:rsidRDefault="00D2187A" w:rsidP="00E12AF4">
      <w:r>
        <w:continuationSeparator/>
      </w:r>
    </w:p>
    <w:p w14:paraId="3353F99F" w14:textId="77777777" w:rsidR="00D2187A" w:rsidRDefault="00D218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swiss"/>
    <w:pitch w:val="fixed"/>
    <w:sig w:usb0="E10002FF" w:usb1="4000FCFF" w:usb2="00000009"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A0BCF" w14:textId="77777777" w:rsidR="00B50712" w:rsidRDefault="00D2187A">
    <w:pPr>
      <w:pStyle w:val="Footer"/>
    </w:pPr>
    <w:sdt>
      <w:sdtPr>
        <w:id w:val="969400743"/>
        <w:temporary/>
        <w:showingPlcHdr/>
      </w:sdtPr>
      <w:sdtEndPr/>
      <w:sdtContent>
        <w:r w:rsidR="00B50712">
          <w:t>[Type text]</w:t>
        </w:r>
      </w:sdtContent>
    </w:sdt>
    <w:r w:rsidR="00B50712">
      <w:ptab w:relativeTo="margin" w:alignment="center" w:leader="none"/>
    </w:r>
    <w:sdt>
      <w:sdtPr>
        <w:id w:val="969400748"/>
        <w:temporary/>
        <w:showingPlcHdr/>
      </w:sdtPr>
      <w:sdtEndPr/>
      <w:sdtContent>
        <w:r w:rsidR="00B50712">
          <w:t>[Type text]</w:t>
        </w:r>
      </w:sdtContent>
    </w:sdt>
    <w:r w:rsidR="00B50712">
      <w:ptab w:relativeTo="margin" w:alignment="right" w:leader="none"/>
    </w:r>
    <w:sdt>
      <w:sdtPr>
        <w:id w:val="969400753"/>
        <w:temporary/>
        <w:showingPlcHdr/>
      </w:sdtPr>
      <w:sdtEndPr/>
      <w:sdtContent>
        <w:r w:rsidR="00B50712">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36A51" w14:textId="61F13868" w:rsidR="00B50712" w:rsidRPr="00357AD6" w:rsidRDefault="00480DE0" w:rsidP="00847D7D">
    <w:pPr>
      <w:pStyle w:val="Header"/>
      <w:spacing w:before="240"/>
      <w:jc w:val="right"/>
    </w:pPr>
    <w:r>
      <w:rPr>
        <w:rFonts w:asciiTheme="majorHAnsi" w:hAnsiTheme="majorHAnsi" w:cstheme="majorHAnsi"/>
      </w:rPr>
      <w:t>PNNL-27090</w:t>
    </w:r>
  </w:p>
  <w:p w14:paraId="505276CC" w14:textId="77777777" w:rsidR="00B50712" w:rsidRPr="00847D7D" w:rsidRDefault="00B50712" w:rsidP="00847D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38084" w14:textId="77777777" w:rsidR="00B50712" w:rsidRDefault="00B50712" w:rsidP="00482B3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E462EAF" w14:textId="77777777" w:rsidR="00B50712" w:rsidRDefault="00B50712" w:rsidP="00482B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95F71" w14:textId="77777777" w:rsidR="00B50712" w:rsidRPr="004D536C" w:rsidRDefault="00B50712" w:rsidP="008F4077">
    <w:pPr>
      <w:pStyle w:val="Footer"/>
      <w:ind w:left="-21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6C6D5" w14:textId="3DCAFD4C" w:rsidR="00B50712" w:rsidRPr="00F87603" w:rsidRDefault="00B50712" w:rsidP="00482B31">
    <w:pPr>
      <w:pStyle w:val="Footer"/>
      <w:rPr>
        <w:rFonts w:asciiTheme="majorHAnsi" w:hAnsiTheme="majorHAnsi" w:cstheme="majorHAnsi"/>
      </w:rPr>
    </w:pPr>
    <w:r w:rsidRPr="00F87603">
      <w:rPr>
        <w:rFonts w:asciiTheme="majorHAnsi" w:hAnsiTheme="majorHAnsi" w:cstheme="majorHAnsi"/>
      </w:rPr>
      <w:fldChar w:fldCharType="begin"/>
    </w:r>
    <w:r w:rsidRPr="00F87603">
      <w:rPr>
        <w:rFonts w:asciiTheme="majorHAnsi" w:hAnsiTheme="majorHAnsi" w:cstheme="majorHAnsi"/>
      </w:rPr>
      <w:instrText xml:space="preserve"> PAGE </w:instrText>
    </w:r>
    <w:r w:rsidRPr="00F87603">
      <w:rPr>
        <w:rFonts w:asciiTheme="majorHAnsi" w:hAnsiTheme="majorHAnsi" w:cstheme="majorHAnsi"/>
      </w:rPr>
      <w:fldChar w:fldCharType="separate"/>
    </w:r>
    <w:r w:rsidR="00027D38">
      <w:rPr>
        <w:rFonts w:asciiTheme="majorHAnsi" w:hAnsiTheme="majorHAnsi" w:cstheme="majorHAnsi"/>
        <w:noProof/>
      </w:rPr>
      <w:t>xv</w:t>
    </w:r>
    <w:r w:rsidRPr="00F87603">
      <w:rPr>
        <w:rFonts w:asciiTheme="majorHAnsi" w:hAnsiTheme="majorHAnsi" w:cstheme="majorHAnsi"/>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4914820"/>
      <w:docPartObj>
        <w:docPartGallery w:val="Page Numbers (Bottom of Page)"/>
        <w:docPartUnique/>
      </w:docPartObj>
    </w:sdtPr>
    <w:sdtEndPr>
      <w:rPr>
        <w:noProof/>
      </w:rPr>
    </w:sdtEndPr>
    <w:sdtContent>
      <w:p w14:paraId="5DE1DE8C" w14:textId="3A2F3611" w:rsidR="00B50712" w:rsidRDefault="00B50712">
        <w:pPr>
          <w:pStyle w:val="Footer"/>
        </w:pPr>
        <w:r>
          <w:fldChar w:fldCharType="begin"/>
        </w:r>
        <w:r>
          <w:instrText xml:space="preserve"> PAGE   \* MERGEFORMAT </w:instrText>
        </w:r>
        <w:r>
          <w:fldChar w:fldCharType="separate"/>
        </w:r>
        <w:r w:rsidR="00027D38">
          <w:rPr>
            <w:noProof/>
          </w:rPr>
          <w:t>2.2</w:t>
        </w:r>
        <w:r>
          <w:rPr>
            <w:noProof/>
          </w:rPr>
          <w:fldChar w:fldCharType="end"/>
        </w:r>
      </w:p>
    </w:sdtContent>
  </w:sdt>
  <w:p w14:paraId="3113BE92" w14:textId="5C054332" w:rsidR="00B50712" w:rsidRPr="00DA79BF" w:rsidRDefault="00B50712" w:rsidP="00DA79BF">
    <w:pPr>
      <w:pStyle w:val="Footer"/>
      <w:rPr>
        <w:rStyle w:val="PageNumber"/>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2813913"/>
      <w:docPartObj>
        <w:docPartGallery w:val="Page Numbers (Bottom of Page)"/>
        <w:docPartUnique/>
      </w:docPartObj>
    </w:sdtPr>
    <w:sdtEndPr>
      <w:rPr>
        <w:noProof/>
      </w:rPr>
    </w:sdtEndPr>
    <w:sdtContent>
      <w:p w14:paraId="5CB3EC54" w14:textId="620AF6F0" w:rsidR="00B50712" w:rsidRDefault="00B50712">
        <w:pPr>
          <w:pStyle w:val="Footer"/>
        </w:pPr>
        <w:r>
          <w:fldChar w:fldCharType="begin"/>
        </w:r>
        <w:r>
          <w:instrText xml:space="preserve"> PAGE   \* MERGEFORMAT </w:instrText>
        </w:r>
        <w:r>
          <w:fldChar w:fldCharType="separate"/>
        </w:r>
        <w:r w:rsidR="00027D38">
          <w:rPr>
            <w:noProof/>
          </w:rPr>
          <w:t>A.6</w:t>
        </w:r>
        <w:r>
          <w:rPr>
            <w:noProof/>
          </w:rPr>
          <w:fldChar w:fldCharType="end"/>
        </w:r>
      </w:p>
    </w:sdtContent>
  </w:sdt>
  <w:p w14:paraId="2E391527" w14:textId="5034C9D6" w:rsidR="00B50712" w:rsidRPr="00DA79BF" w:rsidRDefault="00B50712" w:rsidP="00DA79B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C5618" w14:textId="77777777" w:rsidR="00B50712" w:rsidRPr="00C92649" w:rsidRDefault="00B50712" w:rsidP="00482B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CAA6A2" w14:textId="77777777" w:rsidR="00D2187A" w:rsidRDefault="00D2187A">
      <w:r>
        <w:separator/>
      </w:r>
    </w:p>
  </w:footnote>
  <w:footnote w:type="continuationSeparator" w:id="0">
    <w:p w14:paraId="2D4D341C" w14:textId="77777777" w:rsidR="00D2187A" w:rsidRDefault="00D2187A" w:rsidP="00E12AF4">
      <w:r>
        <w:continuationSeparator/>
      </w:r>
    </w:p>
    <w:p w14:paraId="05D4DCFC" w14:textId="77777777" w:rsidR="00D2187A" w:rsidRDefault="00D2187A"/>
  </w:footnote>
  <w:footnote w:id="1">
    <w:p w14:paraId="16E8968C" w14:textId="77777777" w:rsidR="00B50712" w:rsidRDefault="00B50712" w:rsidP="00C81B62">
      <w:pPr>
        <w:pStyle w:val="FootnoteText"/>
      </w:pPr>
      <w:r>
        <w:rPr>
          <w:rStyle w:val="FootnoteReference"/>
        </w:rPr>
        <w:footnoteRef/>
      </w:r>
      <w:r>
        <w:t xml:space="preserve"> The direct costs of electricity don’t include any administrative or distribution costs.  They contain only the costs of the fuel, O&amp;M, and initial capital and replacement costs.</w:t>
      </w:r>
      <w:r w:rsidRPr="00FF7C7E">
        <w:t xml:space="preserve"> Thus the costs discussed should be considered as relative costs.</w:t>
      </w:r>
    </w:p>
  </w:footnote>
  <w:footnote w:id="2">
    <w:p w14:paraId="1DFF9B2C" w14:textId="598B6DBF" w:rsidR="00B50712" w:rsidRDefault="00B50712">
      <w:pPr>
        <w:pStyle w:val="FootnoteText"/>
      </w:pPr>
      <w:r>
        <w:rPr>
          <w:rStyle w:val="FootnoteReference"/>
        </w:rPr>
        <w:footnoteRef/>
      </w:r>
      <w:r>
        <w:t xml:space="preserve"> DM Rosewater, JP Eddy. November 2017. “Shungnak Energy Configuration Options: Energy Infrastructure Optimization to Reduce Fuel Cost and Dependence in Shungnak, Alaska. Sandia National Laboratories. SAND2017-11777R.</w:t>
      </w:r>
    </w:p>
  </w:footnote>
  <w:footnote w:id="3">
    <w:p w14:paraId="73E426CA" w14:textId="77777777" w:rsidR="00B50712" w:rsidRDefault="00B50712" w:rsidP="00C81B62">
      <w:pPr>
        <w:pStyle w:val="FootnoteText"/>
      </w:pPr>
      <w:r>
        <w:rPr>
          <w:rStyle w:val="FootnoteReference"/>
        </w:rPr>
        <w:footnoteRef/>
      </w:r>
      <w:r>
        <w:t xml:space="preserve"> DSIRE. 2016. “Renewable Electricity Production Tax Credit (PTC).” Last updated May 24, 2016. Accessed August 24, 2017 at </w:t>
      </w:r>
      <w:r w:rsidRPr="00181E27">
        <w:t>http://programs.dsireusa.org/system/program/detail/734</w:t>
      </w:r>
    </w:p>
  </w:footnote>
  <w:footnote w:id="4">
    <w:p w14:paraId="25011667" w14:textId="77777777" w:rsidR="00B50712" w:rsidRDefault="00B50712" w:rsidP="00973B9A">
      <w:pPr>
        <w:pStyle w:val="FootnoteText"/>
      </w:pPr>
      <w:r>
        <w:rPr>
          <w:rStyle w:val="FootnoteReference"/>
        </w:rPr>
        <w:footnoteRef/>
      </w:r>
      <w:r>
        <w:t xml:space="preserve"> </w:t>
      </w:r>
      <w:r w:rsidRPr="00300D0A">
        <w:t xml:space="preserve">State of Alaska Department of </w:t>
      </w:r>
      <w:r>
        <w:t>Department of Labor and Workforce development</w:t>
      </w:r>
      <w:r w:rsidRPr="00300D0A">
        <w:t xml:space="preserve">, </w:t>
      </w:r>
      <w:r>
        <w:t xml:space="preserve">Accessed October 4, 2017 at </w:t>
      </w:r>
      <w:r w:rsidRPr="00687B64">
        <w:t>http://live.laborstats.alaska.gov/pop/index.cfm</w:t>
      </w:r>
    </w:p>
  </w:footnote>
  <w:footnote w:id="5">
    <w:p w14:paraId="35C5417D" w14:textId="77777777" w:rsidR="00B50712" w:rsidRDefault="00B50712" w:rsidP="00973B9A">
      <w:pPr>
        <w:pStyle w:val="FootnoteText"/>
      </w:pPr>
      <w:r>
        <w:rPr>
          <w:rStyle w:val="FootnoteReference"/>
        </w:rPr>
        <w:footnoteRef/>
      </w:r>
      <w:r>
        <w:t xml:space="preserve"> </w:t>
      </w:r>
      <w:r w:rsidRPr="004A299E">
        <w:t xml:space="preserve">Alaska Energy Authority; Remote Alaska Communities Energy Efficiency Competition: Phase II Summary and Strategic Energy Efficiency Plan – </w:t>
      </w:r>
      <w:r>
        <w:t>Shungnak</w:t>
      </w:r>
      <w:r w:rsidRPr="004A299E">
        <w:t>; 2016 Aug 19</w:t>
      </w:r>
    </w:p>
  </w:footnote>
  <w:footnote w:id="6">
    <w:p w14:paraId="6B6E2A9B" w14:textId="77777777" w:rsidR="00B50712" w:rsidRDefault="00B50712" w:rsidP="00973B9A">
      <w:pPr>
        <w:pStyle w:val="FootnoteText"/>
      </w:pPr>
      <w:r>
        <w:rPr>
          <w:rStyle w:val="FootnoteReference"/>
        </w:rPr>
        <w:footnoteRef/>
      </w:r>
      <w:r>
        <w:t xml:space="preserve"> Alaska Energy Authority. 2017. Power Cost Equalization Program: Statistical Data by Community – Reporting Period: July 1, 2015 to June 30, 2016. Accessed at </w:t>
      </w:r>
      <w:r w:rsidRPr="00B53D6D">
        <w:t>http://www.akenergyauthority.org/Portals/0/DNNGalleryPro/uploads/2017/2/28/FY16PCEAnnualCommunity.pdf</w:t>
      </w:r>
    </w:p>
  </w:footnote>
  <w:footnote w:id="7">
    <w:p w14:paraId="7C65601C" w14:textId="77777777" w:rsidR="00B50712" w:rsidRDefault="00B50712" w:rsidP="00973B9A">
      <w:pPr>
        <w:pStyle w:val="FootnoteText"/>
      </w:pPr>
      <w:r>
        <w:rPr>
          <w:rStyle w:val="FootnoteReference"/>
        </w:rPr>
        <w:footnoteRef/>
      </w:r>
      <w:r>
        <w:t xml:space="preserve"> Alaska.edu. Alaska Data Gateway – Community Data Summary: Shungnak. </w:t>
      </w:r>
      <w:r w:rsidRPr="00B53D6D">
        <w:t>https://akenergygateway.alaska.edu/community-data-summary/1400188/#detail-fuel</w:t>
      </w:r>
    </w:p>
  </w:footnote>
  <w:footnote w:id="8">
    <w:p w14:paraId="58251046" w14:textId="77777777" w:rsidR="00B50712" w:rsidRDefault="00B50712" w:rsidP="00973B9A">
      <w:pPr>
        <w:pStyle w:val="FootnoteText"/>
      </w:pPr>
      <w:r>
        <w:rPr>
          <w:rStyle w:val="FootnoteReference"/>
        </w:rPr>
        <w:footnoteRef/>
      </w:r>
      <w:r>
        <w:t xml:space="preserve"> </w:t>
      </w:r>
      <w:r w:rsidRPr="006D2C98">
        <w:rPr>
          <w:i/>
        </w:rPr>
        <w:t xml:space="preserve">Alaska Energy Authority; </w:t>
      </w:r>
      <w:r>
        <w:rPr>
          <w:i/>
        </w:rPr>
        <w:t xml:space="preserve">FY 2012 – FY2016 Annual PCE Statistical Reports by Community.  </w:t>
      </w:r>
      <w:hyperlink r:id="rId1" w:history="1">
        <w:r w:rsidRPr="00F4349D">
          <w:rPr>
            <w:rStyle w:val="Hyperlink"/>
            <w:i/>
          </w:rPr>
          <w:t>http://www.akenergyauthority.org/Programs/PCE</w:t>
        </w:r>
      </w:hyperlink>
    </w:p>
  </w:footnote>
  <w:footnote w:id="9">
    <w:p w14:paraId="51440B84" w14:textId="77777777" w:rsidR="00B50712" w:rsidRDefault="00B50712" w:rsidP="00CA4882">
      <w:pPr>
        <w:pStyle w:val="FootnoteText"/>
      </w:pPr>
      <w:r>
        <w:rPr>
          <w:rStyle w:val="FootnoteReference"/>
        </w:rPr>
        <w:footnoteRef/>
      </w:r>
      <w:r>
        <w:t xml:space="preserve"> Ibid.</w:t>
      </w:r>
    </w:p>
  </w:footnote>
  <w:footnote w:id="10">
    <w:p w14:paraId="2D341325" w14:textId="29A63590" w:rsidR="00B50712" w:rsidRDefault="00B50712">
      <w:pPr>
        <w:pStyle w:val="FootnoteText"/>
      </w:pPr>
      <w:r>
        <w:rPr>
          <w:rStyle w:val="FootnoteReference"/>
        </w:rPr>
        <w:footnoteRef/>
      </w:r>
      <w:r>
        <w:t xml:space="preserve"> DM Rosewater, JP Eddy. November 2017. “Shungnak Energy Configuration Options: Energy Infrastructure Optimization to Reduce Fuel Cost and Dependence in Shungnak, Alaska. Sandia National Laboratories. </w:t>
      </w:r>
      <w:r w:rsidR="004132DE">
        <w:t>SAND2017-11777R</w:t>
      </w:r>
    </w:p>
  </w:footnote>
  <w:footnote w:id="11">
    <w:p w14:paraId="4055F336" w14:textId="77777777" w:rsidR="00B50712" w:rsidRDefault="00B50712" w:rsidP="005832BD">
      <w:pPr>
        <w:pStyle w:val="FootnoteText"/>
      </w:pPr>
      <w:r>
        <w:rPr>
          <w:rStyle w:val="FootnoteReference"/>
        </w:rPr>
        <w:footnoteRef/>
      </w:r>
      <w:r>
        <w:t xml:space="preserve"> Currently, production tax credits are scheduled to end December 31, 2019.</w:t>
      </w:r>
    </w:p>
  </w:footnote>
  <w:footnote w:id="12">
    <w:p w14:paraId="3C603349" w14:textId="77777777" w:rsidR="00B50712" w:rsidRDefault="00B50712" w:rsidP="005832BD">
      <w:pPr>
        <w:pStyle w:val="FootnoteText"/>
      </w:pPr>
      <w:r>
        <w:rPr>
          <w:rStyle w:val="FootnoteReference"/>
        </w:rPr>
        <w:footnoteRef/>
      </w:r>
      <w:r>
        <w:t xml:space="preserve"> See DSIRE at </w:t>
      </w:r>
      <w:hyperlink r:id="rId2" w:history="1">
        <w:r w:rsidRPr="003D6A56">
          <w:rPr>
            <w:rStyle w:val="Hyperlink"/>
          </w:rPr>
          <w:t>http://programs.dsireusa.org/system/program/detail/918</w:t>
        </w:r>
      </w:hyperlink>
    </w:p>
  </w:footnote>
  <w:footnote w:id="13">
    <w:p w14:paraId="23D04F89" w14:textId="0948D687" w:rsidR="00B50712" w:rsidRDefault="00B50712">
      <w:pPr>
        <w:pStyle w:val="FootnoteText"/>
      </w:pPr>
      <w:r>
        <w:rPr>
          <w:rStyle w:val="FootnoteReference"/>
        </w:rPr>
        <w:footnoteRef/>
      </w:r>
      <w:r>
        <w:t xml:space="preserve"> Rosewater, DM, and JP Eddy. 2017. “</w:t>
      </w:r>
      <w:r w:rsidRPr="00902D26">
        <w:t>Energy Infrastructure Optimization to Reduce Fuel Cost and Dependence in Shungnak Alaska</w:t>
      </w:r>
      <w:r>
        <w:t xml:space="preserve">.” Sandia National Laboratory, </w:t>
      </w:r>
      <w:r w:rsidR="004132DE">
        <w:t>SAND2017-11777R</w:t>
      </w:r>
    </w:p>
  </w:footnote>
  <w:footnote w:id="14">
    <w:p w14:paraId="7AFCED43" w14:textId="77777777" w:rsidR="00B50712" w:rsidRDefault="00B50712" w:rsidP="005939AC">
      <w:pPr>
        <w:pStyle w:val="FootnoteText"/>
      </w:pPr>
      <w:r>
        <w:rPr>
          <w:rStyle w:val="FootnoteReference"/>
        </w:rPr>
        <w:footnoteRef/>
      </w:r>
      <w:r>
        <w:t xml:space="preserve"> Renewable Energy Alaska Project. March 2011. “Community Wind Toolkit: A guide to Developing Wind Energy Projects in Alaska.” Access June 7, 2017 at </w:t>
      </w:r>
      <w:r w:rsidRPr="00230A71">
        <w:t>http://www.akenergyauthority.org/Content/Programs/AEEE/Wind/PDF/WindToolkit_For%20web_FINALMarch24_2011.pdf</w:t>
      </w:r>
    </w:p>
  </w:footnote>
  <w:footnote w:id="15">
    <w:p w14:paraId="6AEDB272" w14:textId="20F96AA4" w:rsidR="00B50712" w:rsidRDefault="00B50712" w:rsidP="005939AC">
      <w:pPr>
        <w:pStyle w:val="FootnoteText"/>
      </w:pPr>
      <w:r>
        <w:rPr>
          <w:rStyle w:val="FootnoteReference"/>
        </w:rPr>
        <w:footnoteRef/>
      </w:r>
      <w:r>
        <w:t xml:space="preserve"> </w:t>
      </w:r>
      <w:r w:rsidRPr="00D346CC">
        <w:t>DSIRE – Database of State Incentives for R</w:t>
      </w:r>
      <w:r>
        <w:t xml:space="preserve">enewables &amp; Efficiency.  2016. </w:t>
      </w:r>
      <w:r w:rsidRPr="00D346CC">
        <w:t>“Renewable Electricity Production Tax Credit (PTC).”  Accessed January 2017 at http://programs.dsireusa.org/system/program/detail/734 (last updated May 24, 2016).</w:t>
      </w:r>
    </w:p>
  </w:footnote>
  <w:footnote w:id="16">
    <w:p w14:paraId="3BE3B43A" w14:textId="1D4B2EFC" w:rsidR="00B50712" w:rsidRDefault="00B50712" w:rsidP="005939AC">
      <w:pPr>
        <w:pStyle w:val="FootnoteText"/>
      </w:pPr>
      <w:r>
        <w:rPr>
          <w:rStyle w:val="FootnoteReference"/>
        </w:rPr>
        <w:footnoteRef/>
      </w:r>
      <w:r>
        <w:t xml:space="preserve"> </w:t>
      </w:r>
      <w:r w:rsidRPr="00D346CC">
        <w:t>DSIRE – Database of State Incentives for R</w:t>
      </w:r>
      <w:r>
        <w:t xml:space="preserve">enewables &amp; Efficiency.  2015. </w:t>
      </w:r>
      <w:r w:rsidRPr="00D346CC">
        <w:t>“Business Energy Investment Tax Credit (ITC).”  Accessed February 15, 2017 at http://programs.dsireusa.org/system/program/detail/658  (last update December 21, 2015).</w:t>
      </w:r>
    </w:p>
  </w:footnote>
  <w:footnote w:id="17">
    <w:p w14:paraId="33359E22" w14:textId="77777777" w:rsidR="00B50712" w:rsidRDefault="00B50712" w:rsidP="005939AC">
      <w:pPr>
        <w:pStyle w:val="FootnoteText"/>
      </w:pPr>
      <w:r>
        <w:rPr>
          <w:rStyle w:val="FootnoteReference"/>
        </w:rPr>
        <w:footnoteRef/>
      </w:r>
      <w:r>
        <w:t xml:space="preserve"> Global-rates.com. “12 month US Dollar LIBOR interest rate.” Accessed October 4, 2017 at </w:t>
      </w:r>
      <w:hyperlink r:id="rId3" w:history="1">
        <w:r w:rsidRPr="00443DFD">
          <w:rPr>
            <w:rStyle w:val="Hyperlink"/>
          </w:rPr>
          <w:t>http://www.global-rates.com/interest-rates/libor/american-dollar/usd-libor-interest-rate-12-months.aspx</w:t>
        </w:r>
      </w:hyperlink>
    </w:p>
  </w:footnote>
  <w:footnote w:id="18">
    <w:p w14:paraId="2B004E74" w14:textId="77777777" w:rsidR="00B50712" w:rsidRDefault="00B50712" w:rsidP="005939AC">
      <w:pPr>
        <w:pStyle w:val="FootnoteText"/>
      </w:pPr>
      <w:r>
        <w:rPr>
          <w:rStyle w:val="FootnoteReference"/>
        </w:rPr>
        <w:footnoteRef/>
      </w:r>
      <w:r>
        <w:t xml:space="preserve"> Woodlawn Associates. 2017. “Tax Equity 101: Structures.” Accessed May 30, 2017 at </w:t>
      </w:r>
      <w:r w:rsidRPr="00B17338">
        <w:t>https://woodlawnassociates.com/tax-equity-101/</w:t>
      </w:r>
    </w:p>
  </w:footnote>
  <w:footnote w:id="19">
    <w:p w14:paraId="45CE7249" w14:textId="77777777" w:rsidR="00B50712" w:rsidRDefault="00B50712" w:rsidP="005939AC">
      <w:pPr>
        <w:pStyle w:val="FootnoteText"/>
      </w:pPr>
      <w:r>
        <w:rPr>
          <w:rStyle w:val="FootnoteReference"/>
        </w:rPr>
        <w:footnoteRef/>
      </w:r>
      <w:r>
        <w:t xml:space="preserve"> New York Times. May 30, 2017. “Business Day Markets”.  Accessed May 30, 2017 at </w:t>
      </w:r>
      <w:hyperlink r:id="rId4" w:history="1">
        <w:r w:rsidRPr="00443DFD">
          <w:rPr>
            <w:rStyle w:val="Hyperlink"/>
          </w:rPr>
          <w:t>http://markets.on.nytimes.com/research/markets/bonds/bonds.asp</w:t>
        </w:r>
      </w:hyperlink>
    </w:p>
  </w:footnote>
  <w:footnote w:id="20">
    <w:p w14:paraId="1C033290" w14:textId="77777777" w:rsidR="00B50712" w:rsidRDefault="00B50712" w:rsidP="005939AC">
      <w:pPr>
        <w:pStyle w:val="FootnoteText"/>
      </w:pPr>
      <w:r>
        <w:rPr>
          <w:rStyle w:val="FootnoteReference"/>
        </w:rPr>
        <w:footnoteRef/>
      </w:r>
      <w:r>
        <w:t xml:space="preserve"> fms bonds, Inc. 2017. “Municipal Bond Offerings.” Accessed May 30, 2017 at </w:t>
      </w:r>
      <w:hyperlink r:id="rId5" w:history="1">
        <w:r w:rsidRPr="00443DFD">
          <w:rPr>
            <w:rStyle w:val="Hyperlink"/>
          </w:rPr>
          <w:t>https://trading2.fast-trade.com/fmsbonds/bondsearch.do?pager.offset=70</w:t>
        </w:r>
      </w:hyperlink>
    </w:p>
  </w:footnote>
  <w:footnote w:id="21">
    <w:p w14:paraId="41B78233" w14:textId="77777777" w:rsidR="00B50712" w:rsidRDefault="00B50712" w:rsidP="005939AC">
      <w:pPr>
        <w:pStyle w:val="FootnoteText"/>
      </w:pPr>
      <w:r>
        <w:rPr>
          <w:rStyle w:val="FootnoteReference"/>
        </w:rPr>
        <w:footnoteRef/>
      </w:r>
      <w:r>
        <w:t xml:space="preserve"> DSIRE. 2015. “Power Project Loan Fund.” Accessed May 30, 2017 at </w:t>
      </w:r>
      <w:hyperlink r:id="rId6" w:history="1">
        <w:r w:rsidRPr="00443DFD">
          <w:rPr>
            <w:rStyle w:val="Hyperlink"/>
          </w:rPr>
          <w:t>http://programs.dsireusa.org/system/program/detail/115</w:t>
        </w:r>
      </w:hyperlink>
    </w:p>
  </w:footnote>
  <w:footnote w:id="22">
    <w:p w14:paraId="380AA7BC" w14:textId="77777777" w:rsidR="00B50712" w:rsidRDefault="00B50712" w:rsidP="005939AC">
      <w:pPr>
        <w:pStyle w:val="FootnoteText"/>
      </w:pPr>
      <w:r>
        <w:rPr>
          <w:rStyle w:val="FootnoteReference"/>
        </w:rPr>
        <w:footnoteRef/>
      </w:r>
      <w:r>
        <w:t xml:space="preserve"> DSIRE. 2016. “Renewable Energy Grant Program.” Accessed May 30, 2017 at  </w:t>
      </w:r>
      <w:hyperlink r:id="rId7" w:history="1">
        <w:r w:rsidRPr="00443DFD">
          <w:rPr>
            <w:rStyle w:val="Hyperlink"/>
          </w:rPr>
          <w:t>http://programs.dsireusa.org/system/program/detail/3080</w:t>
        </w:r>
      </w:hyperlink>
    </w:p>
  </w:footnote>
  <w:footnote w:id="23">
    <w:p w14:paraId="0BD19C89" w14:textId="77777777" w:rsidR="00B50712" w:rsidRDefault="00B50712" w:rsidP="005939AC">
      <w:pPr>
        <w:pStyle w:val="FootnoteText"/>
      </w:pPr>
      <w:r>
        <w:rPr>
          <w:rStyle w:val="FootnoteReference"/>
        </w:rPr>
        <w:footnoteRef/>
      </w:r>
      <w:r>
        <w:t xml:space="preserve"> DSIRE. 2015. “Clean Renewable Energy Bonds (CREBs). Accessed May 30, 2017 at  </w:t>
      </w:r>
      <w:hyperlink r:id="rId8" w:history="1">
        <w:r w:rsidRPr="00443DFD">
          <w:rPr>
            <w:rStyle w:val="Hyperlink"/>
          </w:rPr>
          <w:t>http://programs.dsireusa.org/system/program/detail/2510</w:t>
        </w:r>
      </w:hyperlink>
    </w:p>
  </w:footnote>
  <w:footnote w:id="24">
    <w:p w14:paraId="036EE0F5" w14:textId="77777777" w:rsidR="00B50712" w:rsidRDefault="00B50712" w:rsidP="005939AC">
      <w:pPr>
        <w:pStyle w:val="FootnoteText"/>
      </w:pPr>
      <w:r>
        <w:rPr>
          <w:rStyle w:val="FootnoteReference"/>
        </w:rPr>
        <w:footnoteRef/>
      </w:r>
      <w:r>
        <w:t xml:space="preserve"> DSIRE. 2016. “</w:t>
      </w:r>
      <w:r w:rsidRPr="003B6045">
        <w:t>USDA – Rural Energy for America Program (REAP)</w:t>
      </w:r>
      <w:r>
        <w:t xml:space="preserve"> Grants.” Accessed May 30, 2017 at </w:t>
      </w:r>
      <w:hyperlink r:id="rId9" w:history="1">
        <w:r w:rsidRPr="00443DFD">
          <w:rPr>
            <w:rStyle w:val="Hyperlink"/>
          </w:rPr>
          <w:t>http://programs.dsireusa.org/system/program/detail/917</w:t>
        </w:r>
      </w:hyperlink>
    </w:p>
  </w:footnote>
  <w:footnote w:id="25">
    <w:p w14:paraId="4FB8B86C" w14:textId="77777777" w:rsidR="00B50712" w:rsidRDefault="00B50712" w:rsidP="005939AC">
      <w:pPr>
        <w:pStyle w:val="FootnoteText"/>
      </w:pPr>
      <w:r>
        <w:rPr>
          <w:rStyle w:val="FootnoteReference"/>
        </w:rPr>
        <w:footnoteRef/>
      </w:r>
      <w:r>
        <w:t xml:space="preserve"> DSIRE. 2017. “Business Energy Tax Credit. Accessed May 30, 2017 at </w:t>
      </w:r>
      <w:hyperlink r:id="rId10" w:history="1">
        <w:r w:rsidRPr="00443DFD">
          <w:rPr>
            <w:rStyle w:val="Hyperlink"/>
          </w:rPr>
          <w:t>http://programs.dsireusa.org/system/program/detail/658</w:t>
        </w:r>
      </w:hyperlink>
    </w:p>
  </w:footnote>
  <w:footnote w:id="26">
    <w:p w14:paraId="7C87E185" w14:textId="77777777" w:rsidR="00B50712" w:rsidRDefault="00B50712" w:rsidP="005939AC">
      <w:pPr>
        <w:pStyle w:val="FootnoteText"/>
      </w:pPr>
      <w:r>
        <w:rPr>
          <w:rStyle w:val="FootnoteReference"/>
        </w:rPr>
        <w:footnoteRef/>
      </w:r>
      <w:r>
        <w:t xml:space="preserve"> DSIRE 2016. “Renewable Electricity Production Tax Credit (PTC).” Accessed May 30, 2017 at </w:t>
      </w:r>
      <w:hyperlink r:id="rId11" w:history="1">
        <w:r w:rsidRPr="00443DFD">
          <w:rPr>
            <w:rStyle w:val="Hyperlink"/>
          </w:rPr>
          <w:t>http://programs.dsireusa.org/system/program/detail/734</w:t>
        </w:r>
      </w:hyperlink>
    </w:p>
  </w:footnote>
  <w:footnote w:id="27">
    <w:p w14:paraId="49C4DC11" w14:textId="77777777" w:rsidR="00B50712" w:rsidRDefault="00B50712" w:rsidP="00F75FE5">
      <w:pPr>
        <w:pStyle w:val="FootnoteText"/>
      </w:pPr>
      <w:r>
        <w:rPr>
          <w:rStyle w:val="FootnoteReference"/>
        </w:rPr>
        <w:footnoteRef/>
      </w:r>
      <w:r>
        <w:t xml:space="preserve"> OSHA – Occupational Safety and Health Administration. 2013. Diesel Exhaust/Diesel Particulate Matter. Accessed October 4, 2017 at </w:t>
      </w:r>
      <w:r w:rsidRPr="00E716B7">
        <w:t>https://www.osha.gov/Publications/OSHA-3590.pdf</w:t>
      </w:r>
    </w:p>
  </w:footnote>
  <w:footnote w:id="28">
    <w:p w14:paraId="453A28B8" w14:textId="15064B91" w:rsidR="00B50712" w:rsidRDefault="00B50712" w:rsidP="00802AB2">
      <w:pPr>
        <w:pStyle w:val="FootnoteText"/>
      </w:pPr>
      <w:r>
        <w:rPr>
          <w:rStyle w:val="FootnoteReference"/>
        </w:rPr>
        <w:footnoteRef/>
      </w:r>
      <w:r>
        <w:t xml:space="preserve"> Rosewater, DM, and JP Eddy. 2017. “</w:t>
      </w:r>
      <w:r w:rsidRPr="00902D26">
        <w:t>Energy Infrastructure Optimization to Reduce Fuel Cost and Dependence in Shungnak Alaska</w:t>
      </w:r>
      <w:r>
        <w:t xml:space="preserve">.” Sandia National Laboratory, </w:t>
      </w:r>
      <w:r w:rsidR="004132DE">
        <w:t>SAND2017-11777R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FBEA9" w14:textId="77777777" w:rsidR="00B50712" w:rsidRPr="00357AD6" w:rsidRDefault="00B50712" w:rsidP="00847D7D">
    <w:pPr>
      <w:pStyle w:val="Header"/>
      <w:spacing w:before="240"/>
      <w:jc w:val="right"/>
    </w:pPr>
    <w:r>
      <w:rPr>
        <w:noProof/>
      </w:rPr>
      <w:drawing>
        <wp:anchor distT="0" distB="0" distL="114300" distR="114300" simplePos="0" relativeHeight="251658240" behindDoc="1" locked="0" layoutInCell="1" allowOverlap="1" wp14:anchorId="7C6239A9" wp14:editId="5F4B0AEB">
          <wp:simplePos x="0" y="0"/>
          <wp:positionH relativeFrom="page">
            <wp:align>right</wp:align>
          </wp:positionH>
          <wp:positionV relativeFrom="paragraph">
            <wp:posOffset>-575873</wp:posOffset>
          </wp:positionV>
          <wp:extent cx="7772366" cy="10055309"/>
          <wp:effectExtent l="0" t="0" r="63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MLC_Report_Background_Artwork_GMLC_Report_Front_Cover.jpg"/>
                  <pic:cNvPicPr/>
                </pic:nvPicPr>
                <pic:blipFill>
                  <a:blip r:embed="rId1">
                    <a:extLst>
                      <a:ext uri="{28A0092B-C50C-407E-A947-70E740481C1C}">
                        <a14:useLocalDpi xmlns:a14="http://schemas.microsoft.com/office/drawing/2010/main" val="0"/>
                      </a:ext>
                    </a:extLst>
                  </a:blip>
                  <a:stretch>
                    <a:fillRect/>
                  </a:stretch>
                </pic:blipFill>
                <pic:spPr>
                  <a:xfrm>
                    <a:off x="0" y="0"/>
                    <a:ext cx="7772366" cy="10055309"/>
                  </a:xfrm>
                  <a:prstGeom prst="rect">
                    <a:avLst/>
                  </a:prstGeom>
                </pic:spPr>
              </pic:pic>
            </a:graphicData>
          </a:graphic>
          <wp14:sizeRelH relativeFrom="page">
            <wp14:pctWidth>0</wp14:pctWidth>
          </wp14:sizeRelH>
          <wp14:sizeRelV relativeFrom="page">
            <wp14:pctHeight>0</wp14:pctHeight>
          </wp14:sizeRelV>
        </wp:anchor>
      </w:drawing>
    </w:r>
    <w:r w:rsidRPr="00357AD6">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6EF9E" w14:textId="4AFA896C" w:rsidR="00B50712" w:rsidRPr="00F87603" w:rsidRDefault="00027D38" w:rsidP="00482B31">
    <w:pPr>
      <w:jc w:val="right"/>
      <w:rPr>
        <w:rFonts w:asciiTheme="majorHAnsi" w:hAnsiTheme="majorHAnsi" w:cstheme="majorHAnsi"/>
      </w:rPr>
    </w:pPr>
    <w:r>
      <w:rPr>
        <w:rFonts w:asciiTheme="majorHAnsi" w:hAnsiTheme="majorHAnsi" w:cstheme="majorHAnsi"/>
        <w:sz w:val="24"/>
      </w:rPr>
      <w:t>GMLC-XXXXX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945D9" w14:textId="77777777" w:rsidR="00B50712" w:rsidRPr="006F32C6" w:rsidRDefault="00B50712" w:rsidP="004023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2381A" w14:textId="77777777" w:rsidR="00B50712" w:rsidRPr="00994DC0" w:rsidRDefault="00B50712" w:rsidP="00994DC0">
    <w:r>
      <w:rPr>
        <w:noProof/>
      </w:rPr>
      <w:drawing>
        <wp:anchor distT="0" distB="0" distL="0" distR="0" simplePos="0" relativeHeight="251657216" behindDoc="1" locked="0" layoutInCell="1" allowOverlap="1" wp14:anchorId="5CEEC365" wp14:editId="4ECAD45B">
          <wp:simplePos x="0" y="0"/>
          <wp:positionH relativeFrom="page">
            <wp:posOffset>0</wp:posOffset>
          </wp:positionH>
          <wp:positionV relativeFrom="page">
            <wp:posOffset>8700</wp:posOffset>
          </wp:positionV>
          <wp:extent cx="7772399" cy="10042645"/>
          <wp:effectExtent l="0" t="0" r="635" b="0"/>
          <wp:wrapNone/>
          <wp:docPr id="2" name="Back Cover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Cover_BACK_10-01-2012.tif"/>
                  <pic:cNvPicPr/>
                </pic:nvPicPr>
                <pic:blipFill>
                  <a:blip r:embed="rId1">
                    <a:extLst>
                      <a:ext uri="{28A0092B-C50C-407E-A947-70E740481C1C}">
                        <a14:useLocalDpi xmlns:a14="http://schemas.microsoft.com/office/drawing/2010/main" val="0"/>
                      </a:ext>
                    </a:extLst>
                  </a:blip>
                  <a:stretch>
                    <a:fillRect/>
                  </a:stretch>
                </pic:blipFill>
                <pic:spPr>
                  <a:xfrm>
                    <a:off x="0" y="0"/>
                    <a:ext cx="7772399" cy="100426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20049C96"/>
    <w:lvl w:ilvl="0">
      <w:start w:val="1"/>
      <w:numFmt w:val="bullet"/>
      <w:pStyle w:val="ListBullet2"/>
      <w:lvlText w:val="–"/>
      <w:lvlJc w:val="left"/>
      <w:pPr>
        <w:tabs>
          <w:tab w:val="num" w:pos="720"/>
        </w:tabs>
        <w:ind w:left="720" w:hanging="360"/>
      </w:pPr>
      <w:rPr>
        <w:rFonts w:ascii="Times New Roman" w:hAnsi="Times New Roman" w:cs="Times New Roman" w:hint="default"/>
      </w:rPr>
    </w:lvl>
  </w:abstractNum>
  <w:abstractNum w:abstractNumId="1" w15:restartNumberingAfterBreak="0">
    <w:nsid w:val="00403B9F"/>
    <w:multiLevelType w:val="hybridMultilevel"/>
    <w:tmpl w:val="EB409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76686"/>
    <w:multiLevelType w:val="hybridMultilevel"/>
    <w:tmpl w:val="14D22560"/>
    <w:lvl w:ilvl="0" w:tplc="12909B40">
      <w:start w:val="1"/>
      <w:numFmt w:val="bullet"/>
      <w:pStyle w:val="List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C65070"/>
    <w:multiLevelType w:val="hybridMultilevel"/>
    <w:tmpl w:val="5FE89F18"/>
    <w:lvl w:ilvl="0" w:tplc="F3CC5862">
      <w:start w:val="1"/>
      <w:numFmt w:val="decimal"/>
      <w:pStyle w:val="ListNumb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C5C33B4"/>
    <w:multiLevelType w:val="hybridMultilevel"/>
    <w:tmpl w:val="94865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E23757"/>
    <w:multiLevelType w:val="hybridMultilevel"/>
    <w:tmpl w:val="76F6518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2BFE6B59"/>
    <w:multiLevelType w:val="multilevel"/>
    <w:tmpl w:val="034600E0"/>
    <w:lvl w:ilvl="0">
      <w:start w:val="1"/>
      <w:numFmt w:val="decimal"/>
      <w:pStyle w:val="Heading1"/>
      <w:lvlText w:val="%1.0"/>
      <w:lvlJc w:val="center"/>
      <w:pPr>
        <w:ind w:left="1350" w:firstLine="0"/>
      </w:pPr>
      <w:rPr>
        <w:rFonts w:ascii="Arial" w:hAnsi="Arial" w:cs="Arial" w:hint="default"/>
        <w:b/>
        <w:i w:val="0"/>
        <w:caps w:val="0"/>
        <w:strike w:val="0"/>
        <w:dstrike w:val="0"/>
        <w:vanish w:val="0"/>
        <w:color w:val="auto"/>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648"/>
        </w:tabs>
        <w:ind w:left="648" w:hanging="648"/>
      </w:pPr>
      <w:rPr>
        <w:rFonts w:ascii="Arial" w:hAnsi="Arial" w:cs="Arial" w:hint="default"/>
        <w:b/>
        <w:i w:val="0"/>
        <w:color w:val="auto"/>
        <w:sz w:val="28"/>
      </w:rPr>
    </w:lvl>
    <w:lvl w:ilvl="2">
      <w:start w:val="1"/>
      <w:numFmt w:val="decimal"/>
      <w:pStyle w:val="Heading3"/>
      <w:lvlText w:val="%1.%2.%3"/>
      <w:lvlJc w:val="left"/>
      <w:pPr>
        <w:tabs>
          <w:tab w:val="num" w:pos="936"/>
        </w:tabs>
        <w:ind w:left="936" w:hanging="936"/>
      </w:pPr>
      <w:rPr>
        <w:rFonts w:ascii="Arial" w:hAnsi="Arial" w:cs="Arial" w:hint="default"/>
        <w:b/>
        <w:i w:val="0"/>
        <w:color w:val="auto"/>
        <w:sz w:val="24"/>
      </w:rPr>
    </w:lvl>
    <w:lvl w:ilvl="3">
      <w:start w:val="1"/>
      <w:numFmt w:val="decimal"/>
      <w:pStyle w:val="Heading4"/>
      <w:lvlText w:val="%1.%2.%3.%4"/>
      <w:lvlJc w:val="left"/>
      <w:pPr>
        <w:tabs>
          <w:tab w:val="num" w:pos="1037"/>
        </w:tabs>
        <w:ind w:left="1037" w:hanging="1037"/>
      </w:pPr>
      <w:rPr>
        <w:rFonts w:ascii="Arial" w:hAnsi="Arial" w:cs="Arial" w:hint="default"/>
        <w:b/>
        <w:i w:val="0"/>
        <w:color w:val="auto"/>
        <w:sz w:val="22"/>
      </w:rPr>
    </w:lvl>
    <w:lvl w:ilvl="4">
      <w:start w:val="1"/>
      <w:numFmt w:val="none"/>
      <w:pStyle w:val="Heading5"/>
      <w:suff w:val="nothing"/>
      <w:lvlText w:val=""/>
      <w:lvlJc w:val="left"/>
      <w:pPr>
        <w:ind w:left="0" w:firstLine="0"/>
      </w:pPr>
      <w:rPr>
        <w:rFonts w:ascii="Arial" w:hAnsi="Arial" w:cs="Arial" w:hint="default"/>
        <w:b/>
        <w:i w:val="0"/>
        <w:color w:val="auto"/>
        <w:sz w:val="22"/>
      </w:rPr>
    </w:lvl>
    <w:lvl w:ilvl="5">
      <w:start w:val="1"/>
      <w:numFmt w:val="upperLetter"/>
      <w:pStyle w:val="Heading6"/>
      <w:suff w:val="nothing"/>
      <w:lvlText w:val="Appendix %6"/>
      <w:lvlJc w:val="left"/>
      <w:pPr>
        <w:ind w:left="5580" w:firstLine="0"/>
      </w:pPr>
      <w:rPr>
        <w:rFonts w:ascii="Arial" w:hAnsi="Arial" w:cs="Arial" w:hint="default"/>
        <w:b/>
        <w:i w:val="0"/>
        <w:color w:val="auto"/>
        <w:sz w:val="32"/>
        <w:szCs w:val="32"/>
      </w:rPr>
    </w:lvl>
    <w:lvl w:ilvl="6">
      <w:start w:val="1"/>
      <w:numFmt w:val="decimal"/>
      <w:pStyle w:val="Heading7"/>
      <w:lvlText w:val="%6.%7"/>
      <w:lvlJc w:val="left"/>
      <w:pPr>
        <w:tabs>
          <w:tab w:val="num" w:pos="648"/>
        </w:tabs>
        <w:ind w:left="648" w:hanging="648"/>
      </w:pPr>
      <w:rPr>
        <w:rFonts w:ascii="Arial" w:hAnsi="Arial" w:cs="Arial" w:hint="default"/>
        <w:b/>
        <w:i w:val="0"/>
        <w:color w:val="auto"/>
        <w:sz w:val="28"/>
        <w:szCs w:val="28"/>
      </w:rPr>
    </w:lvl>
    <w:lvl w:ilvl="7">
      <w:start w:val="1"/>
      <w:numFmt w:val="decimal"/>
      <w:pStyle w:val="Heading8"/>
      <w:lvlText w:val="%6.%7.%8"/>
      <w:lvlJc w:val="left"/>
      <w:pPr>
        <w:tabs>
          <w:tab w:val="num" w:pos="936"/>
        </w:tabs>
        <w:ind w:left="936" w:hanging="936"/>
      </w:pPr>
      <w:rPr>
        <w:rFonts w:ascii="Arial" w:hAnsi="Arial" w:cs="Arial" w:hint="default"/>
        <w:b/>
        <w:bCs w:val="0"/>
        <w:i w:val="0"/>
        <w:iCs w:val="0"/>
        <w:caps w:val="0"/>
        <w:smallCaps w:val="0"/>
        <w:strike w:val="0"/>
        <w:dstrike w:val="0"/>
        <w:noProof w:val="0"/>
        <w:snapToGrid w:val="0"/>
        <w:vanish w:val="0"/>
        <w:color w:val="auto"/>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Heading9"/>
      <w:lvlText w:val="%6.%7.%8.%9"/>
      <w:lvlJc w:val="left"/>
      <w:pPr>
        <w:tabs>
          <w:tab w:val="num" w:pos="1037"/>
        </w:tabs>
        <w:ind w:left="1037" w:hanging="1037"/>
      </w:pPr>
      <w:rPr>
        <w:rFonts w:ascii="Arial" w:hAnsi="Arial" w:cs="Arial" w:hint="default"/>
        <w:b/>
        <w:i w:val="0"/>
        <w:color w:val="auto"/>
        <w:sz w:val="22"/>
        <w:szCs w:val="22"/>
      </w:rPr>
    </w:lvl>
  </w:abstractNum>
  <w:abstractNum w:abstractNumId="7" w15:restartNumberingAfterBreak="0">
    <w:nsid w:val="305D25F7"/>
    <w:multiLevelType w:val="multilevel"/>
    <w:tmpl w:val="68E8E47A"/>
    <w:lvl w:ilvl="0">
      <w:start w:val="1"/>
      <w:numFmt w:val="decimal"/>
      <w:pStyle w:val="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397500E0"/>
    <w:multiLevelType w:val="multilevel"/>
    <w:tmpl w:val="4F7A4F66"/>
    <w:lvl w:ilvl="0">
      <w:start w:val="1"/>
      <w:numFmt w:val="lowerLetter"/>
      <w:pStyle w:val="ListLetter"/>
      <w:lvlText w:val="%1."/>
      <w:lvlJc w:val="left"/>
      <w:pPr>
        <w:tabs>
          <w:tab w:val="num" w:pos="792"/>
        </w:tabs>
        <w:ind w:left="720" w:hanging="288"/>
      </w:pPr>
      <w:rPr>
        <w:rFonts w:hint="default"/>
      </w:rPr>
    </w:lvl>
    <w:lvl w:ilvl="1">
      <w:start w:val="1"/>
      <w:numFmt w:val="decimal"/>
      <w:lvlText w:val="%1.%2"/>
      <w:lvlJc w:val="left"/>
      <w:pPr>
        <w:tabs>
          <w:tab w:val="num" w:pos="648"/>
        </w:tabs>
        <w:ind w:left="648" w:hanging="648"/>
      </w:pPr>
      <w:rPr>
        <w:rFonts w:ascii="Times New Roman" w:hAnsi="Times New Roman" w:hint="default"/>
        <w:b/>
        <w:i w:val="0"/>
        <w:sz w:val="28"/>
      </w:rPr>
    </w:lvl>
    <w:lvl w:ilvl="2">
      <w:start w:val="1"/>
      <w:numFmt w:val="decimal"/>
      <w:lvlText w:val="%1.%2.%3"/>
      <w:lvlJc w:val="left"/>
      <w:pPr>
        <w:tabs>
          <w:tab w:val="num" w:pos="734"/>
        </w:tabs>
        <w:ind w:left="734" w:hanging="734"/>
      </w:pPr>
      <w:rPr>
        <w:rFonts w:ascii="Times New Roman" w:hAnsi="Times New Roman" w:hint="default"/>
        <w:b/>
        <w:i w:val="0"/>
        <w:sz w:val="24"/>
      </w:rPr>
    </w:lvl>
    <w:lvl w:ilvl="3">
      <w:start w:val="1"/>
      <w:numFmt w:val="decimal"/>
      <w:lvlText w:val="%1.%2.%3.%4"/>
      <w:lvlJc w:val="left"/>
      <w:pPr>
        <w:tabs>
          <w:tab w:val="num" w:pos="1210"/>
        </w:tabs>
        <w:ind w:left="1210" w:hanging="850"/>
      </w:pPr>
      <w:rPr>
        <w:rFonts w:ascii="Times New Roman" w:hAnsi="Times New Roman" w:hint="default"/>
        <w:b/>
        <w:i w:val="0"/>
        <w:sz w:val="22"/>
      </w:rPr>
    </w:lvl>
    <w:lvl w:ilvl="4">
      <w:start w:val="1"/>
      <w:numFmt w:val="decimal"/>
      <w:lvlText w:val="%1.%2.%3.%4.%5"/>
      <w:lvlJc w:val="left"/>
      <w:pPr>
        <w:tabs>
          <w:tab w:val="num" w:pos="1382"/>
        </w:tabs>
        <w:ind w:left="1382" w:hanging="1022"/>
      </w:pPr>
      <w:rPr>
        <w:rFonts w:ascii="Times New Roman" w:hAnsi="Times New Roman" w:hint="default"/>
        <w:b/>
        <w:i w:val="0"/>
        <w:sz w:val="22"/>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9" w15:restartNumberingAfterBreak="0">
    <w:nsid w:val="3FCB2172"/>
    <w:multiLevelType w:val="hybridMultilevel"/>
    <w:tmpl w:val="A33016E8"/>
    <w:lvl w:ilvl="0" w:tplc="521C7AA2">
      <w:start w:val="1"/>
      <w:numFmt w:val="bullet"/>
      <w:pStyle w:val="ListBulletLevel2"/>
      <w:lvlText w:val=""/>
      <w:lvlJc w:val="left"/>
      <w:pPr>
        <w:tabs>
          <w:tab w:val="num" w:pos="792"/>
        </w:tabs>
        <w:ind w:left="72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404972"/>
    <w:multiLevelType w:val="hybridMultilevel"/>
    <w:tmpl w:val="3524F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6B24AD"/>
    <w:multiLevelType w:val="hybridMultilevel"/>
    <w:tmpl w:val="80D016E6"/>
    <w:lvl w:ilvl="0" w:tplc="A664E5E8">
      <w:start w:val="1"/>
      <w:numFmt w:val="bullet"/>
      <w:pStyle w:val="ListBullet3"/>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BA12969"/>
    <w:multiLevelType w:val="hybridMultilevel"/>
    <w:tmpl w:val="EA3A4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0"/>
  </w:num>
  <w:num w:numId="5">
    <w:abstractNumId w:val="11"/>
  </w:num>
  <w:num w:numId="6">
    <w:abstractNumId w:val="9"/>
  </w:num>
  <w:num w:numId="7">
    <w:abstractNumId w:val="8"/>
  </w:num>
  <w:num w:numId="8">
    <w:abstractNumId w:val="3"/>
  </w:num>
  <w:num w:numId="9">
    <w:abstractNumId w:val="1"/>
  </w:num>
  <w:num w:numId="10">
    <w:abstractNumId w:val="5"/>
  </w:num>
  <w:num w:numId="11">
    <w:abstractNumId w:val="10"/>
  </w:num>
  <w:num w:numId="12">
    <w:abstractNumId w:val="12"/>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mirrorMargins/>
  <w:stylePaneFormatFilter w:val="F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1"/>
  <w:doNotTrackFormatting/>
  <w:defaultTabStop w:val="720"/>
  <w:clickAndTypeStyle w:val="BodyText"/>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4F18"/>
    <w:rsid w:val="00001ACE"/>
    <w:rsid w:val="00002695"/>
    <w:rsid w:val="00002F16"/>
    <w:rsid w:val="00003D03"/>
    <w:rsid w:val="0000412B"/>
    <w:rsid w:val="00004205"/>
    <w:rsid w:val="0000436E"/>
    <w:rsid w:val="000045AB"/>
    <w:rsid w:val="0000537E"/>
    <w:rsid w:val="000054D2"/>
    <w:rsid w:val="00005C16"/>
    <w:rsid w:val="000071B8"/>
    <w:rsid w:val="000132F0"/>
    <w:rsid w:val="00013D06"/>
    <w:rsid w:val="00017DCA"/>
    <w:rsid w:val="00020C28"/>
    <w:rsid w:val="000227D8"/>
    <w:rsid w:val="00022C41"/>
    <w:rsid w:val="00024C93"/>
    <w:rsid w:val="0002656F"/>
    <w:rsid w:val="000273BB"/>
    <w:rsid w:val="000279E2"/>
    <w:rsid w:val="00027D38"/>
    <w:rsid w:val="00030AB0"/>
    <w:rsid w:val="000315FA"/>
    <w:rsid w:val="00032164"/>
    <w:rsid w:val="000335FF"/>
    <w:rsid w:val="00033754"/>
    <w:rsid w:val="00033796"/>
    <w:rsid w:val="00033A7F"/>
    <w:rsid w:val="00033D54"/>
    <w:rsid w:val="00034548"/>
    <w:rsid w:val="00034896"/>
    <w:rsid w:val="00034DFF"/>
    <w:rsid w:val="00037025"/>
    <w:rsid w:val="00037221"/>
    <w:rsid w:val="00041769"/>
    <w:rsid w:val="000418E4"/>
    <w:rsid w:val="00041B1E"/>
    <w:rsid w:val="000424FF"/>
    <w:rsid w:val="0004291C"/>
    <w:rsid w:val="0004563C"/>
    <w:rsid w:val="00045847"/>
    <w:rsid w:val="000470D8"/>
    <w:rsid w:val="00047130"/>
    <w:rsid w:val="00050514"/>
    <w:rsid w:val="00050769"/>
    <w:rsid w:val="00050E64"/>
    <w:rsid w:val="0005205A"/>
    <w:rsid w:val="0005395C"/>
    <w:rsid w:val="00056632"/>
    <w:rsid w:val="00060776"/>
    <w:rsid w:val="00061198"/>
    <w:rsid w:val="00063098"/>
    <w:rsid w:val="00064797"/>
    <w:rsid w:val="00064BC5"/>
    <w:rsid w:val="00065379"/>
    <w:rsid w:val="000656A6"/>
    <w:rsid w:val="00065BFF"/>
    <w:rsid w:val="00065DA2"/>
    <w:rsid w:val="00067698"/>
    <w:rsid w:val="00067819"/>
    <w:rsid w:val="00067E4E"/>
    <w:rsid w:val="00072D1C"/>
    <w:rsid w:val="0007320C"/>
    <w:rsid w:val="00073FE7"/>
    <w:rsid w:val="00076D0A"/>
    <w:rsid w:val="000775D9"/>
    <w:rsid w:val="00081040"/>
    <w:rsid w:val="00083726"/>
    <w:rsid w:val="00083906"/>
    <w:rsid w:val="00083925"/>
    <w:rsid w:val="000839B1"/>
    <w:rsid w:val="00086183"/>
    <w:rsid w:val="00087BEC"/>
    <w:rsid w:val="000909B8"/>
    <w:rsid w:val="00090A64"/>
    <w:rsid w:val="000912FE"/>
    <w:rsid w:val="000914BF"/>
    <w:rsid w:val="00095D04"/>
    <w:rsid w:val="00095DEF"/>
    <w:rsid w:val="0009672E"/>
    <w:rsid w:val="00097898"/>
    <w:rsid w:val="000A0927"/>
    <w:rsid w:val="000A15D5"/>
    <w:rsid w:val="000A2BA8"/>
    <w:rsid w:val="000A2EE6"/>
    <w:rsid w:val="000A3320"/>
    <w:rsid w:val="000A3F78"/>
    <w:rsid w:val="000A41D1"/>
    <w:rsid w:val="000A4262"/>
    <w:rsid w:val="000A5FD7"/>
    <w:rsid w:val="000A62F7"/>
    <w:rsid w:val="000B0532"/>
    <w:rsid w:val="000B232D"/>
    <w:rsid w:val="000B3604"/>
    <w:rsid w:val="000B41FD"/>
    <w:rsid w:val="000B4A17"/>
    <w:rsid w:val="000B5B0C"/>
    <w:rsid w:val="000B5B3A"/>
    <w:rsid w:val="000B72CB"/>
    <w:rsid w:val="000B7612"/>
    <w:rsid w:val="000C168B"/>
    <w:rsid w:val="000C1C47"/>
    <w:rsid w:val="000C4906"/>
    <w:rsid w:val="000C4CFA"/>
    <w:rsid w:val="000D1A01"/>
    <w:rsid w:val="000D1F9E"/>
    <w:rsid w:val="000D2554"/>
    <w:rsid w:val="000D2C1E"/>
    <w:rsid w:val="000D3092"/>
    <w:rsid w:val="000D368F"/>
    <w:rsid w:val="000D36F7"/>
    <w:rsid w:val="000D431F"/>
    <w:rsid w:val="000D52C1"/>
    <w:rsid w:val="000D648D"/>
    <w:rsid w:val="000E107A"/>
    <w:rsid w:val="000E1BCC"/>
    <w:rsid w:val="000E2E38"/>
    <w:rsid w:val="000E3D9F"/>
    <w:rsid w:val="000E42C2"/>
    <w:rsid w:val="000E6C5B"/>
    <w:rsid w:val="000E7973"/>
    <w:rsid w:val="000E7EB7"/>
    <w:rsid w:val="000F09C6"/>
    <w:rsid w:val="000F179F"/>
    <w:rsid w:val="000F195A"/>
    <w:rsid w:val="000F2096"/>
    <w:rsid w:val="000F395C"/>
    <w:rsid w:val="000F427F"/>
    <w:rsid w:val="000F4879"/>
    <w:rsid w:val="000F5EA0"/>
    <w:rsid w:val="00100685"/>
    <w:rsid w:val="001009B7"/>
    <w:rsid w:val="00102D3F"/>
    <w:rsid w:val="00103452"/>
    <w:rsid w:val="0010401D"/>
    <w:rsid w:val="00105D47"/>
    <w:rsid w:val="00105D88"/>
    <w:rsid w:val="0010647C"/>
    <w:rsid w:val="00106B8F"/>
    <w:rsid w:val="0010770A"/>
    <w:rsid w:val="0011101A"/>
    <w:rsid w:val="0011368D"/>
    <w:rsid w:val="001137AF"/>
    <w:rsid w:val="00113E76"/>
    <w:rsid w:val="00113EA5"/>
    <w:rsid w:val="00113FF1"/>
    <w:rsid w:val="0011743E"/>
    <w:rsid w:val="001177D3"/>
    <w:rsid w:val="001179B4"/>
    <w:rsid w:val="001214E0"/>
    <w:rsid w:val="001225D6"/>
    <w:rsid w:val="00122965"/>
    <w:rsid w:val="00123D83"/>
    <w:rsid w:val="00126710"/>
    <w:rsid w:val="00130975"/>
    <w:rsid w:val="0013143E"/>
    <w:rsid w:val="00134E20"/>
    <w:rsid w:val="00135DD2"/>
    <w:rsid w:val="001360A4"/>
    <w:rsid w:val="001426C0"/>
    <w:rsid w:val="0014359F"/>
    <w:rsid w:val="00144066"/>
    <w:rsid w:val="0014564D"/>
    <w:rsid w:val="001456C5"/>
    <w:rsid w:val="0014603A"/>
    <w:rsid w:val="00151375"/>
    <w:rsid w:val="00151762"/>
    <w:rsid w:val="00155352"/>
    <w:rsid w:val="00157AA3"/>
    <w:rsid w:val="001602EF"/>
    <w:rsid w:val="00160931"/>
    <w:rsid w:val="0016152D"/>
    <w:rsid w:val="001630AA"/>
    <w:rsid w:val="00163A11"/>
    <w:rsid w:val="00166F30"/>
    <w:rsid w:val="00170944"/>
    <w:rsid w:val="00170E98"/>
    <w:rsid w:val="00171917"/>
    <w:rsid w:val="00171F9A"/>
    <w:rsid w:val="001728A5"/>
    <w:rsid w:val="0017400D"/>
    <w:rsid w:val="00174A00"/>
    <w:rsid w:val="00175184"/>
    <w:rsid w:val="001757A4"/>
    <w:rsid w:val="00175E11"/>
    <w:rsid w:val="001766DA"/>
    <w:rsid w:val="00180B42"/>
    <w:rsid w:val="0018467A"/>
    <w:rsid w:val="00186473"/>
    <w:rsid w:val="00186A55"/>
    <w:rsid w:val="00187223"/>
    <w:rsid w:val="00191EAD"/>
    <w:rsid w:val="00193FAE"/>
    <w:rsid w:val="00195159"/>
    <w:rsid w:val="001952BB"/>
    <w:rsid w:val="0019542A"/>
    <w:rsid w:val="001A1528"/>
    <w:rsid w:val="001A193E"/>
    <w:rsid w:val="001A297E"/>
    <w:rsid w:val="001A2BA6"/>
    <w:rsid w:val="001A2D52"/>
    <w:rsid w:val="001A39CD"/>
    <w:rsid w:val="001A417E"/>
    <w:rsid w:val="001A49DE"/>
    <w:rsid w:val="001A4EF3"/>
    <w:rsid w:val="001A53BD"/>
    <w:rsid w:val="001A70B5"/>
    <w:rsid w:val="001B1089"/>
    <w:rsid w:val="001B38F4"/>
    <w:rsid w:val="001B3EC3"/>
    <w:rsid w:val="001B3ECE"/>
    <w:rsid w:val="001B4DC6"/>
    <w:rsid w:val="001B70E7"/>
    <w:rsid w:val="001C125C"/>
    <w:rsid w:val="001C126E"/>
    <w:rsid w:val="001C23EF"/>
    <w:rsid w:val="001C25DA"/>
    <w:rsid w:val="001C2631"/>
    <w:rsid w:val="001C3339"/>
    <w:rsid w:val="001C340B"/>
    <w:rsid w:val="001C3A5C"/>
    <w:rsid w:val="001C3FBF"/>
    <w:rsid w:val="001C577B"/>
    <w:rsid w:val="001C5B56"/>
    <w:rsid w:val="001C6B23"/>
    <w:rsid w:val="001D1A26"/>
    <w:rsid w:val="001D1A7D"/>
    <w:rsid w:val="001D1D37"/>
    <w:rsid w:val="001D1D74"/>
    <w:rsid w:val="001D1DA6"/>
    <w:rsid w:val="001D2157"/>
    <w:rsid w:val="001D2527"/>
    <w:rsid w:val="001D27B0"/>
    <w:rsid w:val="001D40C4"/>
    <w:rsid w:val="001D6DFF"/>
    <w:rsid w:val="001D7662"/>
    <w:rsid w:val="001D768B"/>
    <w:rsid w:val="001D7C98"/>
    <w:rsid w:val="001E0FE8"/>
    <w:rsid w:val="001E39E7"/>
    <w:rsid w:val="001E3A95"/>
    <w:rsid w:val="001E5641"/>
    <w:rsid w:val="001E5C5C"/>
    <w:rsid w:val="001E673D"/>
    <w:rsid w:val="001E6E37"/>
    <w:rsid w:val="001E7321"/>
    <w:rsid w:val="001F0834"/>
    <w:rsid w:val="001F093A"/>
    <w:rsid w:val="001F0DD1"/>
    <w:rsid w:val="001F1633"/>
    <w:rsid w:val="001F53A1"/>
    <w:rsid w:val="002002C2"/>
    <w:rsid w:val="0020148E"/>
    <w:rsid w:val="00203F71"/>
    <w:rsid w:val="00205783"/>
    <w:rsid w:val="00206013"/>
    <w:rsid w:val="00207267"/>
    <w:rsid w:val="00207803"/>
    <w:rsid w:val="002079F9"/>
    <w:rsid w:val="0021295C"/>
    <w:rsid w:val="00212A75"/>
    <w:rsid w:val="002135DB"/>
    <w:rsid w:val="00213DDD"/>
    <w:rsid w:val="002146A6"/>
    <w:rsid w:val="002146B7"/>
    <w:rsid w:val="00220FCD"/>
    <w:rsid w:val="00222799"/>
    <w:rsid w:val="0022497D"/>
    <w:rsid w:val="00224A90"/>
    <w:rsid w:val="0022648B"/>
    <w:rsid w:val="002267D8"/>
    <w:rsid w:val="00227D97"/>
    <w:rsid w:val="00227FD1"/>
    <w:rsid w:val="00230CB7"/>
    <w:rsid w:val="00230F90"/>
    <w:rsid w:val="00232E42"/>
    <w:rsid w:val="00233139"/>
    <w:rsid w:val="002348A4"/>
    <w:rsid w:val="00235589"/>
    <w:rsid w:val="00241680"/>
    <w:rsid w:val="00241FEB"/>
    <w:rsid w:val="00242047"/>
    <w:rsid w:val="002502FB"/>
    <w:rsid w:val="00250734"/>
    <w:rsid w:val="0025125D"/>
    <w:rsid w:val="00251DF2"/>
    <w:rsid w:val="00253A0F"/>
    <w:rsid w:val="00253FE5"/>
    <w:rsid w:val="002559EE"/>
    <w:rsid w:val="00260AE6"/>
    <w:rsid w:val="00260D61"/>
    <w:rsid w:val="00260ED1"/>
    <w:rsid w:val="00265453"/>
    <w:rsid w:val="00265C75"/>
    <w:rsid w:val="00270786"/>
    <w:rsid w:val="00270B1C"/>
    <w:rsid w:val="00270CEA"/>
    <w:rsid w:val="00271069"/>
    <w:rsid w:val="00271867"/>
    <w:rsid w:val="00274F0D"/>
    <w:rsid w:val="00275EF8"/>
    <w:rsid w:val="00277850"/>
    <w:rsid w:val="00280BB1"/>
    <w:rsid w:val="0028105A"/>
    <w:rsid w:val="002833E0"/>
    <w:rsid w:val="00284DED"/>
    <w:rsid w:val="002901BD"/>
    <w:rsid w:val="002917DB"/>
    <w:rsid w:val="00292636"/>
    <w:rsid w:val="0029305D"/>
    <w:rsid w:val="002940AE"/>
    <w:rsid w:val="002A2B6D"/>
    <w:rsid w:val="002A3667"/>
    <w:rsid w:val="002A56EF"/>
    <w:rsid w:val="002A6337"/>
    <w:rsid w:val="002A762B"/>
    <w:rsid w:val="002A7B2A"/>
    <w:rsid w:val="002B0DF0"/>
    <w:rsid w:val="002B13FB"/>
    <w:rsid w:val="002B20F9"/>
    <w:rsid w:val="002B4E33"/>
    <w:rsid w:val="002B51AF"/>
    <w:rsid w:val="002B5216"/>
    <w:rsid w:val="002B55B8"/>
    <w:rsid w:val="002B671F"/>
    <w:rsid w:val="002C2CBE"/>
    <w:rsid w:val="002C2D40"/>
    <w:rsid w:val="002C4EB4"/>
    <w:rsid w:val="002C625F"/>
    <w:rsid w:val="002C66F0"/>
    <w:rsid w:val="002C7488"/>
    <w:rsid w:val="002C7924"/>
    <w:rsid w:val="002C7D82"/>
    <w:rsid w:val="002D0739"/>
    <w:rsid w:val="002D1075"/>
    <w:rsid w:val="002D34F8"/>
    <w:rsid w:val="002E17F7"/>
    <w:rsid w:val="002E1BD5"/>
    <w:rsid w:val="002E424E"/>
    <w:rsid w:val="002E58DE"/>
    <w:rsid w:val="002E6EBB"/>
    <w:rsid w:val="002E7258"/>
    <w:rsid w:val="002F08B9"/>
    <w:rsid w:val="002F12B0"/>
    <w:rsid w:val="002F15CE"/>
    <w:rsid w:val="002F17AD"/>
    <w:rsid w:val="002F220C"/>
    <w:rsid w:val="002F70DD"/>
    <w:rsid w:val="002F7DD1"/>
    <w:rsid w:val="003009B3"/>
    <w:rsid w:val="00303D38"/>
    <w:rsid w:val="00305000"/>
    <w:rsid w:val="0030544E"/>
    <w:rsid w:val="003054F4"/>
    <w:rsid w:val="00305F52"/>
    <w:rsid w:val="00306155"/>
    <w:rsid w:val="0030654F"/>
    <w:rsid w:val="003068EB"/>
    <w:rsid w:val="00307919"/>
    <w:rsid w:val="00307A5D"/>
    <w:rsid w:val="00307BF1"/>
    <w:rsid w:val="00310EAC"/>
    <w:rsid w:val="003147E6"/>
    <w:rsid w:val="003153A4"/>
    <w:rsid w:val="00315D57"/>
    <w:rsid w:val="00317534"/>
    <w:rsid w:val="00317C7C"/>
    <w:rsid w:val="00320721"/>
    <w:rsid w:val="00322038"/>
    <w:rsid w:val="00322258"/>
    <w:rsid w:val="00323B54"/>
    <w:rsid w:val="003258D4"/>
    <w:rsid w:val="003266DB"/>
    <w:rsid w:val="003304DA"/>
    <w:rsid w:val="003310DD"/>
    <w:rsid w:val="00332A29"/>
    <w:rsid w:val="00332D26"/>
    <w:rsid w:val="003338C8"/>
    <w:rsid w:val="00336233"/>
    <w:rsid w:val="003363C0"/>
    <w:rsid w:val="00336B83"/>
    <w:rsid w:val="003370CD"/>
    <w:rsid w:val="00337F48"/>
    <w:rsid w:val="00340556"/>
    <w:rsid w:val="003469A7"/>
    <w:rsid w:val="00346A49"/>
    <w:rsid w:val="0034731F"/>
    <w:rsid w:val="003478F1"/>
    <w:rsid w:val="00352824"/>
    <w:rsid w:val="003531F3"/>
    <w:rsid w:val="003535F3"/>
    <w:rsid w:val="00354D3D"/>
    <w:rsid w:val="00354F18"/>
    <w:rsid w:val="00355107"/>
    <w:rsid w:val="003578B2"/>
    <w:rsid w:val="00357AD6"/>
    <w:rsid w:val="00357C2D"/>
    <w:rsid w:val="00357FDC"/>
    <w:rsid w:val="003602C4"/>
    <w:rsid w:val="00361152"/>
    <w:rsid w:val="00362818"/>
    <w:rsid w:val="00365AB9"/>
    <w:rsid w:val="00366BFF"/>
    <w:rsid w:val="00367749"/>
    <w:rsid w:val="0037180E"/>
    <w:rsid w:val="0037197B"/>
    <w:rsid w:val="00372A31"/>
    <w:rsid w:val="003742F9"/>
    <w:rsid w:val="00376EE5"/>
    <w:rsid w:val="00380C1D"/>
    <w:rsid w:val="00380D2C"/>
    <w:rsid w:val="0038112F"/>
    <w:rsid w:val="00381749"/>
    <w:rsid w:val="00381B86"/>
    <w:rsid w:val="003840CE"/>
    <w:rsid w:val="00385A98"/>
    <w:rsid w:val="003865B5"/>
    <w:rsid w:val="00390DB2"/>
    <w:rsid w:val="00390EBF"/>
    <w:rsid w:val="003934C5"/>
    <w:rsid w:val="00394C2E"/>
    <w:rsid w:val="003973B8"/>
    <w:rsid w:val="0039799C"/>
    <w:rsid w:val="003A43C3"/>
    <w:rsid w:val="003A451D"/>
    <w:rsid w:val="003A4CB4"/>
    <w:rsid w:val="003A5E6A"/>
    <w:rsid w:val="003A6BEF"/>
    <w:rsid w:val="003B0C4C"/>
    <w:rsid w:val="003B1D48"/>
    <w:rsid w:val="003B2211"/>
    <w:rsid w:val="003B55A5"/>
    <w:rsid w:val="003B5CBB"/>
    <w:rsid w:val="003B6CC3"/>
    <w:rsid w:val="003B7598"/>
    <w:rsid w:val="003B763A"/>
    <w:rsid w:val="003C0F97"/>
    <w:rsid w:val="003C2052"/>
    <w:rsid w:val="003C3544"/>
    <w:rsid w:val="003C3A8E"/>
    <w:rsid w:val="003C566B"/>
    <w:rsid w:val="003C784B"/>
    <w:rsid w:val="003C7D63"/>
    <w:rsid w:val="003C7EDD"/>
    <w:rsid w:val="003D0B43"/>
    <w:rsid w:val="003D18E3"/>
    <w:rsid w:val="003D19A4"/>
    <w:rsid w:val="003D4792"/>
    <w:rsid w:val="003D4C11"/>
    <w:rsid w:val="003D4CB0"/>
    <w:rsid w:val="003D4CB7"/>
    <w:rsid w:val="003D4DD4"/>
    <w:rsid w:val="003D4F48"/>
    <w:rsid w:val="003D5303"/>
    <w:rsid w:val="003D557B"/>
    <w:rsid w:val="003E0822"/>
    <w:rsid w:val="003E0B23"/>
    <w:rsid w:val="003E0B88"/>
    <w:rsid w:val="003E1D34"/>
    <w:rsid w:val="003E342C"/>
    <w:rsid w:val="003E3DB8"/>
    <w:rsid w:val="003E55FF"/>
    <w:rsid w:val="003E5BCA"/>
    <w:rsid w:val="003E5EC7"/>
    <w:rsid w:val="003E5FFA"/>
    <w:rsid w:val="003E6685"/>
    <w:rsid w:val="003E7189"/>
    <w:rsid w:val="003F08D7"/>
    <w:rsid w:val="003F3073"/>
    <w:rsid w:val="003F4B7A"/>
    <w:rsid w:val="003F593E"/>
    <w:rsid w:val="003F5C05"/>
    <w:rsid w:val="003F5D5C"/>
    <w:rsid w:val="003F7478"/>
    <w:rsid w:val="00401618"/>
    <w:rsid w:val="00401832"/>
    <w:rsid w:val="004018FD"/>
    <w:rsid w:val="004019EA"/>
    <w:rsid w:val="00401EF8"/>
    <w:rsid w:val="0040221E"/>
    <w:rsid w:val="004023E7"/>
    <w:rsid w:val="00402AFB"/>
    <w:rsid w:val="004034E3"/>
    <w:rsid w:val="00405D1F"/>
    <w:rsid w:val="00407174"/>
    <w:rsid w:val="00407639"/>
    <w:rsid w:val="004103D4"/>
    <w:rsid w:val="00410DEF"/>
    <w:rsid w:val="00411B69"/>
    <w:rsid w:val="004125A2"/>
    <w:rsid w:val="00412E09"/>
    <w:rsid w:val="004132DE"/>
    <w:rsid w:val="004141CF"/>
    <w:rsid w:val="004152A3"/>
    <w:rsid w:val="004155FB"/>
    <w:rsid w:val="0041581B"/>
    <w:rsid w:val="00416EFF"/>
    <w:rsid w:val="00417396"/>
    <w:rsid w:val="004227EB"/>
    <w:rsid w:val="004228EC"/>
    <w:rsid w:val="0042476D"/>
    <w:rsid w:val="0042568A"/>
    <w:rsid w:val="00425E58"/>
    <w:rsid w:val="00426EE5"/>
    <w:rsid w:val="004274D5"/>
    <w:rsid w:val="0043095D"/>
    <w:rsid w:val="00431722"/>
    <w:rsid w:val="00431C36"/>
    <w:rsid w:val="00431E16"/>
    <w:rsid w:val="00433CDD"/>
    <w:rsid w:val="00434337"/>
    <w:rsid w:val="00435BFD"/>
    <w:rsid w:val="00435E27"/>
    <w:rsid w:val="0043777C"/>
    <w:rsid w:val="004407CA"/>
    <w:rsid w:val="00440E4A"/>
    <w:rsid w:val="00441F15"/>
    <w:rsid w:val="00444552"/>
    <w:rsid w:val="004454B2"/>
    <w:rsid w:val="00445A76"/>
    <w:rsid w:val="00445FF6"/>
    <w:rsid w:val="004469E1"/>
    <w:rsid w:val="00447242"/>
    <w:rsid w:val="004476BC"/>
    <w:rsid w:val="0044790B"/>
    <w:rsid w:val="00447BA9"/>
    <w:rsid w:val="004509B0"/>
    <w:rsid w:val="00450D9E"/>
    <w:rsid w:val="00451760"/>
    <w:rsid w:val="00453E98"/>
    <w:rsid w:val="00454D5A"/>
    <w:rsid w:val="00455BE8"/>
    <w:rsid w:val="00456168"/>
    <w:rsid w:val="00456598"/>
    <w:rsid w:val="0045666A"/>
    <w:rsid w:val="00457335"/>
    <w:rsid w:val="00457448"/>
    <w:rsid w:val="00457478"/>
    <w:rsid w:val="00460957"/>
    <w:rsid w:val="00464C14"/>
    <w:rsid w:val="00464EA4"/>
    <w:rsid w:val="00466031"/>
    <w:rsid w:val="00466366"/>
    <w:rsid w:val="00467375"/>
    <w:rsid w:val="004673AF"/>
    <w:rsid w:val="004679F1"/>
    <w:rsid w:val="00470129"/>
    <w:rsid w:val="004711F0"/>
    <w:rsid w:val="004718F8"/>
    <w:rsid w:val="00473E0C"/>
    <w:rsid w:val="0047489C"/>
    <w:rsid w:val="00474984"/>
    <w:rsid w:val="004750A7"/>
    <w:rsid w:val="004760FE"/>
    <w:rsid w:val="00480DE0"/>
    <w:rsid w:val="0048274B"/>
    <w:rsid w:val="00482B31"/>
    <w:rsid w:val="004842B0"/>
    <w:rsid w:val="00484C31"/>
    <w:rsid w:val="0048552E"/>
    <w:rsid w:val="0048597E"/>
    <w:rsid w:val="00491689"/>
    <w:rsid w:val="0049264C"/>
    <w:rsid w:val="00492A28"/>
    <w:rsid w:val="00492E30"/>
    <w:rsid w:val="004935A7"/>
    <w:rsid w:val="004940CC"/>
    <w:rsid w:val="004962C3"/>
    <w:rsid w:val="00496E99"/>
    <w:rsid w:val="00497A63"/>
    <w:rsid w:val="00497B45"/>
    <w:rsid w:val="004A0517"/>
    <w:rsid w:val="004A08CF"/>
    <w:rsid w:val="004A0A05"/>
    <w:rsid w:val="004A15C4"/>
    <w:rsid w:val="004A1E7C"/>
    <w:rsid w:val="004A2A79"/>
    <w:rsid w:val="004A39FF"/>
    <w:rsid w:val="004A4BA1"/>
    <w:rsid w:val="004A5D04"/>
    <w:rsid w:val="004A765E"/>
    <w:rsid w:val="004A774B"/>
    <w:rsid w:val="004A78D1"/>
    <w:rsid w:val="004B1EAB"/>
    <w:rsid w:val="004B2658"/>
    <w:rsid w:val="004B384F"/>
    <w:rsid w:val="004B425A"/>
    <w:rsid w:val="004B45EC"/>
    <w:rsid w:val="004B5E98"/>
    <w:rsid w:val="004B6656"/>
    <w:rsid w:val="004B6CD4"/>
    <w:rsid w:val="004B706F"/>
    <w:rsid w:val="004B7B55"/>
    <w:rsid w:val="004B7E9A"/>
    <w:rsid w:val="004C1B93"/>
    <w:rsid w:val="004C1C89"/>
    <w:rsid w:val="004C286B"/>
    <w:rsid w:val="004C58CF"/>
    <w:rsid w:val="004C77C8"/>
    <w:rsid w:val="004C7CA1"/>
    <w:rsid w:val="004C7E0D"/>
    <w:rsid w:val="004D0E5F"/>
    <w:rsid w:val="004D227F"/>
    <w:rsid w:val="004D384A"/>
    <w:rsid w:val="004D4950"/>
    <w:rsid w:val="004D569F"/>
    <w:rsid w:val="004D5763"/>
    <w:rsid w:val="004D581D"/>
    <w:rsid w:val="004D5AAC"/>
    <w:rsid w:val="004D61F8"/>
    <w:rsid w:val="004D79AC"/>
    <w:rsid w:val="004E1381"/>
    <w:rsid w:val="004E1425"/>
    <w:rsid w:val="004E20A3"/>
    <w:rsid w:val="004E2333"/>
    <w:rsid w:val="004E305E"/>
    <w:rsid w:val="004E4710"/>
    <w:rsid w:val="004E79F6"/>
    <w:rsid w:val="004F011E"/>
    <w:rsid w:val="004F0DCC"/>
    <w:rsid w:val="004F1E25"/>
    <w:rsid w:val="004F2F65"/>
    <w:rsid w:val="004F4995"/>
    <w:rsid w:val="004F5D8C"/>
    <w:rsid w:val="004F5F00"/>
    <w:rsid w:val="004F6221"/>
    <w:rsid w:val="0050305C"/>
    <w:rsid w:val="005038E6"/>
    <w:rsid w:val="005043E9"/>
    <w:rsid w:val="00505D74"/>
    <w:rsid w:val="005065F4"/>
    <w:rsid w:val="0051013C"/>
    <w:rsid w:val="005106EC"/>
    <w:rsid w:val="00511A36"/>
    <w:rsid w:val="00513088"/>
    <w:rsid w:val="005130D3"/>
    <w:rsid w:val="0051450A"/>
    <w:rsid w:val="00514FCB"/>
    <w:rsid w:val="005157CF"/>
    <w:rsid w:val="00515DED"/>
    <w:rsid w:val="00516A1F"/>
    <w:rsid w:val="00521B0C"/>
    <w:rsid w:val="00522649"/>
    <w:rsid w:val="00522B98"/>
    <w:rsid w:val="00523511"/>
    <w:rsid w:val="00523721"/>
    <w:rsid w:val="00523981"/>
    <w:rsid w:val="00524B3B"/>
    <w:rsid w:val="00524E0F"/>
    <w:rsid w:val="0052619E"/>
    <w:rsid w:val="005262B0"/>
    <w:rsid w:val="00526574"/>
    <w:rsid w:val="00526A07"/>
    <w:rsid w:val="00526E1F"/>
    <w:rsid w:val="00526EF1"/>
    <w:rsid w:val="00527F55"/>
    <w:rsid w:val="00531203"/>
    <w:rsid w:val="00531271"/>
    <w:rsid w:val="0053145B"/>
    <w:rsid w:val="0053164E"/>
    <w:rsid w:val="005325C9"/>
    <w:rsid w:val="00535459"/>
    <w:rsid w:val="00535D40"/>
    <w:rsid w:val="00535D94"/>
    <w:rsid w:val="00536393"/>
    <w:rsid w:val="005363EB"/>
    <w:rsid w:val="005373A6"/>
    <w:rsid w:val="0054016D"/>
    <w:rsid w:val="005412B3"/>
    <w:rsid w:val="0054137A"/>
    <w:rsid w:val="00541E47"/>
    <w:rsid w:val="00543B73"/>
    <w:rsid w:val="00545394"/>
    <w:rsid w:val="005460FA"/>
    <w:rsid w:val="005468C1"/>
    <w:rsid w:val="00546ADE"/>
    <w:rsid w:val="00546F1C"/>
    <w:rsid w:val="00547066"/>
    <w:rsid w:val="00547310"/>
    <w:rsid w:val="005475F6"/>
    <w:rsid w:val="00551113"/>
    <w:rsid w:val="005511A5"/>
    <w:rsid w:val="00551711"/>
    <w:rsid w:val="00552227"/>
    <w:rsid w:val="00553378"/>
    <w:rsid w:val="005548DE"/>
    <w:rsid w:val="0055554C"/>
    <w:rsid w:val="005556F9"/>
    <w:rsid w:val="00555C70"/>
    <w:rsid w:val="00555DDF"/>
    <w:rsid w:val="005561F8"/>
    <w:rsid w:val="005565BE"/>
    <w:rsid w:val="00561635"/>
    <w:rsid w:val="00561F36"/>
    <w:rsid w:val="005623E7"/>
    <w:rsid w:val="00562FA3"/>
    <w:rsid w:val="00564062"/>
    <w:rsid w:val="0056418C"/>
    <w:rsid w:val="00564B05"/>
    <w:rsid w:val="0056515C"/>
    <w:rsid w:val="0056582C"/>
    <w:rsid w:val="00566424"/>
    <w:rsid w:val="005714E2"/>
    <w:rsid w:val="0057363E"/>
    <w:rsid w:val="00576519"/>
    <w:rsid w:val="0057695B"/>
    <w:rsid w:val="00576E1F"/>
    <w:rsid w:val="00576F48"/>
    <w:rsid w:val="005773C4"/>
    <w:rsid w:val="0058069F"/>
    <w:rsid w:val="0058226B"/>
    <w:rsid w:val="005822AB"/>
    <w:rsid w:val="005823A9"/>
    <w:rsid w:val="005826CE"/>
    <w:rsid w:val="00582C97"/>
    <w:rsid w:val="005832BD"/>
    <w:rsid w:val="005832CE"/>
    <w:rsid w:val="00583832"/>
    <w:rsid w:val="00585DD4"/>
    <w:rsid w:val="005861FD"/>
    <w:rsid w:val="005932B0"/>
    <w:rsid w:val="0059341D"/>
    <w:rsid w:val="005939AC"/>
    <w:rsid w:val="00593C66"/>
    <w:rsid w:val="00594F9F"/>
    <w:rsid w:val="00595A5F"/>
    <w:rsid w:val="005974A1"/>
    <w:rsid w:val="00597A8C"/>
    <w:rsid w:val="005A4B0C"/>
    <w:rsid w:val="005A4B38"/>
    <w:rsid w:val="005A517A"/>
    <w:rsid w:val="005A5DAD"/>
    <w:rsid w:val="005A5DEC"/>
    <w:rsid w:val="005A6348"/>
    <w:rsid w:val="005A7E2D"/>
    <w:rsid w:val="005A7F82"/>
    <w:rsid w:val="005B3EDA"/>
    <w:rsid w:val="005B44A8"/>
    <w:rsid w:val="005B48E6"/>
    <w:rsid w:val="005B5509"/>
    <w:rsid w:val="005B70E6"/>
    <w:rsid w:val="005B7911"/>
    <w:rsid w:val="005C0E40"/>
    <w:rsid w:val="005C1419"/>
    <w:rsid w:val="005C19DC"/>
    <w:rsid w:val="005C3394"/>
    <w:rsid w:val="005C3894"/>
    <w:rsid w:val="005C3A0E"/>
    <w:rsid w:val="005C609B"/>
    <w:rsid w:val="005C6904"/>
    <w:rsid w:val="005C7DAE"/>
    <w:rsid w:val="005D1F2D"/>
    <w:rsid w:val="005D1FFE"/>
    <w:rsid w:val="005D2D4E"/>
    <w:rsid w:val="005D5739"/>
    <w:rsid w:val="005D5E47"/>
    <w:rsid w:val="005D6546"/>
    <w:rsid w:val="005D668C"/>
    <w:rsid w:val="005D6ED2"/>
    <w:rsid w:val="005D78A3"/>
    <w:rsid w:val="005D7C6B"/>
    <w:rsid w:val="005E0178"/>
    <w:rsid w:val="005E1597"/>
    <w:rsid w:val="005E2120"/>
    <w:rsid w:val="005E2DD7"/>
    <w:rsid w:val="005E6AAC"/>
    <w:rsid w:val="005E6E50"/>
    <w:rsid w:val="005F00DD"/>
    <w:rsid w:val="005F0FD6"/>
    <w:rsid w:val="005F4EA7"/>
    <w:rsid w:val="005F633F"/>
    <w:rsid w:val="005F73BF"/>
    <w:rsid w:val="005F7CF0"/>
    <w:rsid w:val="00601729"/>
    <w:rsid w:val="00602D3A"/>
    <w:rsid w:val="00604F91"/>
    <w:rsid w:val="00605D07"/>
    <w:rsid w:val="006065C2"/>
    <w:rsid w:val="00606A98"/>
    <w:rsid w:val="00606F69"/>
    <w:rsid w:val="0061036B"/>
    <w:rsid w:val="006133C3"/>
    <w:rsid w:val="0061451B"/>
    <w:rsid w:val="00614FB7"/>
    <w:rsid w:val="0061616D"/>
    <w:rsid w:val="006176F2"/>
    <w:rsid w:val="00617B34"/>
    <w:rsid w:val="00620179"/>
    <w:rsid w:val="00621B37"/>
    <w:rsid w:val="0062425A"/>
    <w:rsid w:val="006246A4"/>
    <w:rsid w:val="006256C3"/>
    <w:rsid w:val="00631986"/>
    <w:rsid w:val="00631B42"/>
    <w:rsid w:val="00631BA9"/>
    <w:rsid w:val="00632523"/>
    <w:rsid w:val="00633CB0"/>
    <w:rsid w:val="00633EB8"/>
    <w:rsid w:val="00635D1F"/>
    <w:rsid w:val="00635E21"/>
    <w:rsid w:val="00635EC1"/>
    <w:rsid w:val="00640F63"/>
    <w:rsid w:val="006431C9"/>
    <w:rsid w:val="00643404"/>
    <w:rsid w:val="00643A9F"/>
    <w:rsid w:val="00644D28"/>
    <w:rsid w:val="00644E05"/>
    <w:rsid w:val="00645475"/>
    <w:rsid w:val="006461E0"/>
    <w:rsid w:val="00647D91"/>
    <w:rsid w:val="006501B3"/>
    <w:rsid w:val="00650F8B"/>
    <w:rsid w:val="00651EB4"/>
    <w:rsid w:val="0065348C"/>
    <w:rsid w:val="006541CD"/>
    <w:rsid w:val="00654C86"/>
    <w:rsid w:val="006555CA"/>
    <w:rsid w:val="0065561F"/>
    <w:rsid w:val="00660E41"/>
    <w:rsid w:val="00660E89"/>
    <w:rsid w:val="00661BA3"/>
    <w:rsid w:val="00663125"/>
    <w:rsid w:val="006639E5"/>
    <w:rsid w:val="00663EC5"/>
    <w:rsid w:val="00665659"/>
    <w:rsid w:val="00666E4A"/>
    <w:rsid w:val="006672B7"/>
    <w:rsid w:val="00671603"/>
    <w:rsid w:val="00671A58"/>
    <w:rsid w:val="00671D48"/>
    <w:rsid w:val="00672865"/>
    <w:rsid w:val="00672EA0"/>
    <w:rsid w:val="00673C99"/>
    <w:rsid w:val="0067425B"/>
    <w:rsid w:val="00674FAC"/>
    <w:rsid w:val="00675929"/>
    <w:rsid w:val="006761C3"/>
    <w:rsid w:val="00677383"/>
    <w:rsid w:val="0067742E"/>
    <w:rsid w:val="006777F3"/>
    <w:rsid w:val="00680DCA"/>
    <w:rsid w:val="00683161"/>
    <w:rsid w:val="00683522"/>
    <w:rsid w:val="006839D5"/>
    <w:rsid w:val="006857C2"/>
    <w:rsid w:val="00685C76"/>
    <w:rsid w:val="00686BDF"/>
    <w:rsid w:val="00687379"/>
    <w:rsid w:val="00687BF2"/>
    <w:rsid w:val="0069195F"/>
    <w:rsid w:val="00691E6A"/>
    <w:rsid w:val="0069224F"/>
    <w:rsid w:val="0069312B"/>
    <w:rsid w:val="00693D1C"/>
    <w:rsid w:val="0069450E"/>
    <w:rsid w:val="00694EC1"/>
    <w:rsid w:val="006959C5"/>
    <w:rsid w:val="006A10AE"/>
    <w:rsid w:val="006A13AE"/>
    <w:rsid w:val="006A1A0E"/>
    <w:rsid w:val="006A1EA8"/>
    <w:rsid w:val="006A2A0B"/>
    <w:rsid w:val="006A4EF2"/>
    <w:rsid w:val="006A4F2F"/>
    <w:rsid w:val="006A5060"/>
    <w:rsid w:val="006A618A"/>
    <w:rsid w:val="006A72A7"/>
    <w:rsid w:val="006B1662"/>
    <w:rsid w:val="006B230F"/>
    <w:rsid w:val="006B49F0"/>
    <w:rsid w:val="006B5120"/>
    <w:rsid w:val="006B52E3"/>
    <w:rsid w:val="006B5D71"/>
    <w:rsid w:val="006B61F9"/>
    <w:rsid w:val="006B68F4"/>
    <w:rsid w:val="006C2DAE"/>
    <w:rsid w:val="006C3320"/>
    <w:rsid w:val="006C3AF3"/>
    <w:rsid w:val="006C4714"/>
    <w:rsid w:val="006C4B93"/>
    <w:rsid w:val="006C527C"/>
    <w:rsid w:val="006C5770"/>
    <w:rsid w:val="006C5CE6"/>
    <w:rsid w:val="006C644C"/>
    <w:rsid w:val="006C653D"/>
    <w:rsid w:val="006D286E"/>
    <w:rsid w:val="006D2C98"/>
    <w:rsid w:val="006D46C9"/>
    <w:rsid w:val="006D47CD"/>
    <w:rsid w:val="006D5A35"/>
    <w:rsid w:val="006D6BD0"/>
    <w:rsid w:val="006D6C4C"/>
    <w:rsid w:val="006E04E1"/>
    <w:rsid w:val="006E0B4E"/>
    <w:rsid w:val="006E0FBF"/>
    <w:rsid w:val="006E19BD"/>
    <w:rsid w:val="006E1F01"/>
    <w:rsid w:val="006E3F4D"/>
    <w:rsid w:val="006E4A00"/>
    <w:rsid w:val="006E4B94"/>
    <w:rsid w:val="006E528A"/>
    <w:rsid w:val="006E5B6E"/>
    <w:rsid w:val="006E623D"/>
    <w:rsid w:val="006F029D"/>
    <w:rsid w:val="006F240A"/>
    <w:rsid w:val="006F3DCB"/>
    <w:rsid w:val="006F5710"/>
    <w:rsid w:val="006F70EF"/>
    <w:rsid w:val="006F733B"/>
    <w:rsid w:val="006F7A92"/>
    <w:rsid w:val="00701AE5"/>
    <w:rsid w:val="00701DBE"/>
    <w:rsid w:val="00703D86"/>
    <w:rsid w:val="00706316"/>
    <w:rsid w:val="007065D1"/>
    <w:rsid w:val="00706AE2"/>
    <w:rsid w:val="007071FA"/>
    <w:rsid w:val="0070747F"/>
    <w:rsid w:val="007076D4"/>
    <w:rsid w:val="007077BC"/>
    <w:rsid w:val="00707EA3"/>
    <w:rsid w:val="00710049"/>
    <w:rsid w:val="00710ADD"/>
    <w:rsid w:val="00710E5D"/>
    <w:rsid w:val="0071379F"/>
    <w:rsid w:val="00713B86"/>
    <w:rsid w:val="0071566A"/>
    <w:rsid w:val="007156AD"/>
    <w:rsid w:val="00716B58"/>
    <w:rsid w:val="0071700F"/>
    <w:rsid w:val="007173FC"/>
    <w:rsid w:val="0072049F"/>
    <w:rsid w:val="00721B5F"/>
    <w:rsid w:val="00722A47"/>
    <w:rsid w:val="00725225"/>
    <w:rsid w:val="0072765A"/>
    <w:rsid w:val="00727B04"/>
    <w:rsid w:val="0073094F"/>
    <w:rsid w:val="00733044"/>
    <w:rsid w:val="0073320E"/>
    <w:rsid w:val="00733638"/>
    <w:rsid w:val="00735054"/>
    <w:rsid w:val="007357D7"/>
    <w:rsid w:val="00735F33"/>
    <w:rsid w:val="00742724"/>
    <w:rsid w:val="0074356C"/>
    <w:rsid w:val="00744677"/>
    <w:rsid w:val="007448FC"/>
    <w:rsid w:val="00745A27"/>
    <w:rsid w:val="00745E15"/>
    <w:rsid w:val="00746733"/>
    <w:rsid w:val="00746C95"/>
    <w:rsid w:val="007473DD"/>
    <w:rsid w:val="007477EA"/>
    <w:rsid w:val="00752887"/>
    <w:rsid w:val="007547C9"/>
    <w:rsid w:val="00754815"/>
    <w:rsid w:val="0075609B"/>
    <w:rsid w:val="00756BF3"/>
    <w:rsid w:val="007577AC"/>
    <w:rsid w:val="0076091E"/>
    <w:rsid w:val="00760D05"/>
    <w:rsid w:val="00760DC5"/>
    <w:rsid w:val="00761A46"/>
    <w:rsid w:val="007632EF"/>
    <w:rsid w:val="00763F08"/>
    <w:rsid w:val="00764D3D"/>
    <w:rsid w:val="00764E1B"/>
    <w:rsid w:val="00765029"/>
    <w:rsid w:val="00767A99"/>
    <w:rsid w:val="00767B80"/>
    <w:rsid w:val="007701E2"/>
    <w:rsid w:val="00770681"/>
    <w:rsid w:val="00770EAB"/>
    <w:rsid w:val="0077115A"/>
    <w:rsid w:val="00771891"/>
    <w:rsid w:val="007731F0"/>
    <w:rsid w:val="0077323D"/>
    <w:rsid w:val="00774D1D"/>
    <w:rsid w:val="007754DB"/>
    <w:rsid w:val="00780CDA"/>
    <w:rsid w:val="00781946"/>
    <w:rsid w:val="00781C97"/>
    <w:rsid w:val="0078219E"/>
    <w:rsid w:val="0078230D"/>
    <w:rsid w:val="0078263A"/>
    <w:rsid w:val="007833B4"/>
    <w:rsid w:val="00783A98"/>
    <w:rsid w:val="00783C9F"/>
    <w:rsid w:val="00785661"/>
    <w:rsid w:val="00786115"/>
    <w:rsid w:val="0078684B"/>
    <w:rsid w:val="00786AF8"/>
    <w:rsid w:val="00787714"/>
    <w:rsid w:val="0079046D"/>
    <w:rsid w:val="00790B1A"/>
    <w:rsid w:val="0079129C"/>
    <w:rsid w:val="00791B6F"/>
    <w:rsid w:val="00793461"/>
    <w:rsid w:val="00794389"/>
    <w:rsid w:val="0079560B"/>
    <w:rsid w:val="00796DFF"/>
    <w:rsid w:val="00797164"/>
    <w:rsid w:val="007A1821"/>
    <w:rsid w:val="007A2402"/>
    <w:rsid w:val="007A28B2"/>
    <w:rsid w:val="007A3971"/>
    <w:rsid w:val="007A3F27"/>
    <w:rsid w:val="007A4317"/>
    <w:rsid w:val="007A4F80"/>
    <w:rsid w:val="007A785B"/>
    <w:rsid w:val="007B0602"/>
    <w:rsid w:val="007B0F35"/>
    <w:rsid w:val="007B1A73"/>
    <w:rsid w:val="007B1C2E"/>
    <w:rsid w:val="007B2BA1"/>
    <w:rsid w:val="007B34A3"/>
    <w:rsid w:val="007B3DDB"/>
    <w:rsid w:val="007B5845"/>
    <w:rsid w:val="007C05DC"/>
    <w:rsid w:val="007C1501"/>
    <w:rsid w:val="007C1D5F"/>
    <w:rsid w:val="007C213A"/>
    <w:rsid w:val="007C293E"/>
    <w:rsid w:val="007C32BD"/>
    <w:rsid w:val="007C35F0"/>
    <w:rsid w:val="007C3F4F"/>
    <w:rsid w:val="007C4000"/>
    <w:rsid w:val="007C7E3A"/>
    <w:rsid w:val="007D07BF"/>
    <w:rsid w:val="007D2468"/>
    <w:rsid w:val="007D2775"/>
    <w:rsid w:val="007D30F1"/>
    <w:rsid w:val="007D34AF"/>
    <w:rsid w:val="007D41CD"/>
    <w:rsid w:val="007D6BB4"/>
    <w:rsid w:val="007D7090"/>
    <w:rsid w:val="007D74C1"/>
    <w:rsid w:val="007D77B2"/>
    <w:rsid w:val="007E046E"/>
    <w:rsid w:val="007E05C4"/>
    <w:rsid w:val="007E0FC8"/>
    <w:rsid w:val="007E1B4D"/>
    <w:rsid w:val="007E202C"/>
    <w:rsid w:val="007E3C2B"/>
    <w:rsid w:val="007E62A2"/>
    <w:rsid w:val="007E6A8C"/>
    <w:rsid w:val="007F0A48"/>
    <w:rsid w:val="007F1031"/>
    <w:rsid w:val="007F1868"/>
    <w:rsid w:val="007F186C"/>
    <w:rsid w:val="007F28C7"/>
    <w:rsid w:val="007F29D0"/>
    <w:rsid w:val="007F2B74"/>
    <w:rsid w:val="007F6EFE"/>
    <w:rsid w:val="007F738A"/>
    <w:rsid w:val="00800687"/>
    <w:rsid w:val="00800B1F"/>
    <w:rsid w:val="00800C88"/>
    <w:rsid w:val="00802AB2"/>
    <w:rsid w:val="00803294"/>
    <w:rsid w:val="008049D9"/>
    <w:rsid w:val="00805C65"/>
    <w:rsid w:val="008070E4"/>
    <w:rsid w:val="00807E33"/>
    <w:rsid w:val="008104CC"/>
    <w:rsid w:val="00810B02"/>
    <w:rsid w:val="00811092"/>
    <w:rsid w:val="0081310B"/>
    <w:rsid w:val="008145CB"/>
    <w:rsid w:val="00814C21"/>
    <w:rsid w:val="00814D67"/>
    <w:rsid w:val="00814D83"/>
    <w:rsid w:val="00816A85"/>
    <w:rsid w:val="00817771"/>
    <w:rsid w:val="00821A66"/>
    <w:rsid w:val="0082363E"/>
    <w:rsid w:val="00823939"/>
    <w:rsid w:val="00824182"/>
    <w:rsid w:val="00824F3F"/>
    <w:rsid w:val="00825CBA"/>
    <w:rsid w:val="008262F2"/>
    <w:rsid w:val="008270C7"/>
    <w:rsid w:val="00832122"/>
    <w:rsid w:val="00832EDD"/>
    <w:rsid w:val="008332FE"/>
    <w:rsid w:val="0083340E"/>
    <w:rsid w:val="008351C8"/>
    <w:rsid w:val="00836548"/>
    <w:rsid w:val="008405A0"/>
    <w:rsid w:val="00841DA7"/>
    <w:rsid w:val="00842BCD"/>
    <w:rsid w:val="00842F20"/>
    <w:rsid w:val="0084406E"/>
    <w:rsid w:val="00845936"/>
    <w:rsid w:val="00846FD8"/>
    <w:rsid w:val="00847D7D"/>
    <w:rsid w:val="00850B1E"/>
    <w:rsid w:val="0085279B"/>
    <w:rsid w:val="00853501"/>
    <w:rsid w:val="00853D7D"/>
    <w:rsid w:val="00854B50"/>
    <w:rsid w:val="008555C8"/>
    <w:rsid w:val="00857472"/>
    <w:rsid w:val="00860DA7"/>
    <w:rsid w:val="00861AB0"/>
    <w:rsid w:val="00863315"/>
    <w:rsid w:val="0086604D"/>
    <w:rsid w:val="008661D1"/>
    <w:rsid w:val="00866A50"/>
    <w:rsid w:val="0087274F"/>
    <w:rsid w:val="0087276F"/>
    <w:rsid w:val="008727E5"/>
    <w:rsid w:val="00875FA1"/>
    <w:rsid w:val="00876C43"/>
    <w:rsid w:val="00882EDF"/>
    <w:rsid w:val="00882EFE"/>
    <w:rsid w:val="00886FE3"/>
    <w:rsid w:val="00887E92"/>
    <w:rsid w:val="008900CC"/>
    <w:rsid w:val="008911A9"/>
    <w:rsid w:val="00891FEA"/>
    <w:rsid w:val="00894BE8"/>
    <w:rsid w:val="008952E3"/>
    <w:rsid w:val="00895483"/>
    <w:rsid w:val="0089576A"/>
    <w:rsid w:val="00896CCB"/>
    <w:rsid w:val="00897D5B"/>
    <w:rsid w:val="008A0E3B"/>
    <w:rsid w:val="008A387B"/>
    <w:rsid w:val="008A3ADE"/>
    <w:rsid w:val="008A447F"/>
    <w:rsid w:val="008A53B9"/>
    <w:rsid w:val="008A5B97"/>
    <w:rsid w:val="008B0009"/>
    <w:rsid w:val="008B0438"/>
    <w:rsid w:val="008B0692"/>
    <w:rsid w:val="008B0A31"/>
    <w:rsid w:val="008B0A6B"/>
    <w:rsid w:val="008B5CB8"/>
    <w:rsid w:val="008B5D2B"/>
    <w:rsid w:val="008B607C"/>
    <w:rsid w:val="008B61EE"/>
    <w:rsid w:val="008B7715"/>
    <w:rsid w:val="008C1F3A"/>
    <w:rsid w:val="008C5727"/>
    <w:rsid w:val="008C62CF"/>
    <w:rsid w:val="008C753E"/>
    <w:rsid w:val="008C7C5E"/>
    <w:rsid w:val="008D04E3"/>
    <w:rsid w:val="008D0570"/>
    <w:rsid w:val="008D1147"/>
    <w:rsid w:val="008D1B0F"/>
    <w:rsid w:val="008D1FB4"/>
    <w:rsid w:val="008D2B28"/>
    <w:rsid w:val="008D3AB1"/>
    <w:rsid w:val="008D3FCE"/>
    <w:rsid w:val="008D58DF"/>
    <w:rsid w:val="008D698E"/>
    <w:rsid w:val="008E06C8"/>
    <w:rsid w:val="008E13D1"/>
    <w:rsid w:val="008E24EE"/>
    <w:rsid w:val="008E2C10"/>
    <w:rsid w:val="008E2E69"/>
    <w:rsid w:val="008E4475"/>
    <w:rsid w:val="008E44FD"/>
    <w:rsid w:val="008E4996"/>
    <w:rsid w:val="008E4B0F"/>
    <w:rsid w:val="008E4E9A"/>
    <w:rsid w:val="008E50AF"/>
    <w:rsid w:val="008E53FA"/>
    <w:rsid w:val="008E5696"/>
    <w:rsid w:val="008E5FB9"/>
    <w:rsid w:val="008E6A1C"/>
    <w:rsid w:val="008E722A"/>
    <w:rsid w:val="008E79E1"/>
    <w:rsid w:val="008E7BFF"/>
    <w:rsid w:val="008E7C72"/>
    <w:rsid w:val="008F01BC"/>
    <w:rsid w:val="008F0796"/>
    <w:rsid w:val="008F0F67"/>
    <w:rsid w:val="008F1813"/>
    <w:rsid w:val="008F24AE"/>
    <w:rsid w:val="008F25B0"/>
    <w:rsid w:val="008F3DED"/>
    <w:rsid w:val="008F4077"/>
    <w:rsid w:val="008F5AB3"/>
    <w:rsid w:val="008F6818"/>
    <w:rsid w:val="008F7061"/>
    <w:rsid w:val="00901074"/>
    <w:rsid w:val="00902D26"/>
    <w:rsid w:val="009048B5"/>
    <w:rsid w:val="00905E13"/>
    <w:rsid w:val="00905E86"/>
    <w:rsid w:val="00905FE1"/>
    <w:rsid w:val="0091002D"/>
    <w:rsid w:val="009110A4"/>
    <w:rsid w:val="009119CA"/>
    <w:rsid w:val="009122DF"/>
    <w:rsid w:val="00912CE5"/>
    <w:rsid w:val="00913545"/>
    <w:rsid w:val="00914C5B"/>
    <w:rsid w:val="00915B07"/>
    <w:rsid w:val="00916660"/>
    <w:rsid w:val="00917C22"/>
    <w:rsid w:val="00920344"/>
    <w:rsid w:val="00921C2C"/>
    <w:rsid w:val="009240CD"/>
    <w:rsid w:val="00924718"/>
    <w:rsid w:val="00926698"/>
    <w:rsid w:val="00926AC8"/>
    <w:rsid w:val="0092782A"/>
    <w:rsid w:val="00927866"/>
    <w:rsid w:val="00927C02"/>
    <w:rsid w:val="009301B9"/>
    <w:rsid w:val="009319E9"/>
    <w:rsid w:val="0093222E"/>
    <w:rsid w:val="00932476"/>
    <w:rsid w:val="00933014"/>
    <w:rsid w:val="009332E2"/>
    <w:rsid w:val="009345E3"/>
    <w:rsid w:val="00937AF6"/>
    <w:rsid w:val="009407A4"/>
    <w:rsid w:val="00940CDA"/>
    <w:rsid w:val="00942F9D"/>
    <w:rsid w:val="009452EB"/>
    <w:rsid w:val="00945E8C"/>
    <w:rsid w:val="009460DE"/>
    <w:rsid w:val="00946A87"/>
    <w:rsid w:val="00946D0B"/>
    <w:rsid w:val="00947D60"/>
    <w:rsid w:val="0095124C"/>
    <w:rsid w:val="00951430"/>
    <w:rsid w:val="00951DE6"/>
    <w:rsid w:val="00951E44"/>
    <w:rsid w:val="00953A7A"/>
    <w:rsid w:val="00954F17"/>
    <w:rsid w:val="00955922"/>
    <w:rsid w:val="00957A3C"/>
    <w:rsid w:val="00957E7A"/>
    <w:rsid w:val="00961EA2"/>
    <w:rsid w:val="00962959"/>
    <w:rsid w:val="00962BE2"/>
    <w:rsid w:val="00964252"/>
    <w:rsid w:val="00964A74"/>
    <w:rsid w:val="00964BFE"/>
    <w:rsid w:val="0096637E"/>
    <w:rsid w:val="00966D94"/>
    <w:rsid w:val="009678F1"/>
    <w:rsid w:val="009679B3"/>
    <w:rsid w:val="009705BA"/>
    <w:rsid w:val="009707B0"/>
    <w:rsid w:val="00970CA0"/>
    <w:rsid w:val="00970D75"/>
    <w:rsid w:val="00970F31"/>
    <w:rsid w:val="009712C6"/>
    <w:rsid w:val="00971FA9"/>
    <w:rsid w:val="00972609"/>
    <w:rsid w:val="0097370B"/>
    <w:rsid w:val="00973B9A"/>
    <w:rsid w:val="00976CFE"/>
    <w:rsid w:val="00977C8B"/>
    <w:rsid w:val="00977DE4"/>
    <w:rsid w:val="0098202D"/>
    <w:rsid w:val="00983767"/>
    <w:rsid w:val="009838B0"/>
    <w:rsid w:val="00984146"/>
    <w:rsid w:val="0098421B"/>
    <w:rsid w:val="00984EE2"/>
    <w:rsid w:val="00985C87"/>
    <w:rsid w:val="009863CC"/>
    <w:rsid w:val="009874FD"/>
    <w:rsid w:val="0099050C"/>
    <w:rsid w:val="009914F7"/>
    <w:rsid w:val="00992EA8"/>
    <w:rsid w:val="00993F62"/>
    <w:rsid w:val="00994DC0"/>
    <w:rsid w:val="00996F35"/>
    <w:rsid w:val="009970C1"/>
    <w:rsid w:val="009A15B2"/>
    <w:rsid w:val="009A2B04"/>
    <w:rsid w:val="009A51CB"/>
    <w:rsid w:val="009A528C"/>
    <w:rsid w:val="009A5BE2"/>
    <w:rsid w:val="009A5FD7"/>
    <w:rsid w:val="009A6321"/>
    <w:rsid w:val="009B115F"/>
    <w:rsid w:val="009B1D5E"/>
    <w:rsid w:val="009B2584"/>
    <w:rsid w:val="009B3F55"/>
    <w:rsid w:val="009B45C5"/>
    <w:rsid w:val="009B4E0A"/>
    <w:rsid w:val="009B5D7C"/>
    <w:rsid w:val="009C006E"/>
    <w:rsid w:val="009C0970"/>
    <w:rsid w:val="009C22C7"/>
    <w:rsid w:val="009C2BA2"/>
    <w:rsid w:val="009C3778"/>
    <w:rsid w:val="009C456E"/>
    <w:rsid w:val="009C566F"/>
    <w:rsid w:val="009C57AE"/>
    <w:rsid w:val="009D0470"/>
    <w:rsid w:val="009D04DE"/>
    <w:rsid w:val="009D071C"/>
    <w:rsid w:val="009D118C"/>
    <w:rsid w:val="009D13C6"/>
    <w:rsid w:val="009D21AE"/>
    <w:rsid w:val="009D3347"/>
    <w:rsid w:val="009D49C1"/>
    <w:rsid w:val="009D5836"/>
    <w:rsid w:val="009D787F"/>
    <w:rsid w:val="009E0A53"/>
    <w:rsid w:val="009E2FD3"/>
    <w:rsid w:val="009E366E"/>
    <w:rsid w:val="009E54F2"/>
    <w:rsid w:val="009E6872"/>
    <w:rsid w:val="009E6A95"/>
    <w:rsid w:val="009F02E9"/>
    <w:rsid w:val="009F05B5"/>
    <w:rsid w:val="009F0AC6"/>
    <w:rsid w:val="009F18CD"/>
    <w:rsid w:val="009F2C8E"/>
    <w:rsid w:val="009F3B61"/>
    <w:rsid w:val="009F527C"/>
    <w:rsid w:val="009F5668"/>
    <w:rsid w:val="009F6DB4"/>
    <w:rsid w:val="009F6F9D"/>
    <w:rsid w:val="00A0070F"/>
    <w:rsid w:val="00A018F9"/>
    <w:rsid w:val="00A024BB"/>
    <w:rsid w:val="00A02851"/>
    <w:rsid w:val="00A02B90"/>
    <w:rsid w:val="00A06B9F"/>
    <w:rsid w:val="00A07906"/>
    <w:rsid w:val="00A124D6"/>
    <w:rsid w:val="00A1302E"/>
    <w:rsid w:val="00A136C2"/>
    <w:rsid w:val="00A142F3"/>
    <w:rsid w:val="00A15428"/>
    <w:rsid w:val="00A15810"/>
    <w:rsid w:val="00A17A3F"/>
    <w:rsid w:val="00A17A66"/>
    <w:rsid w:val="00A20189"/>
    <w:rsid w:val="00A21055"/>
    <w:rsid w:val="00A232C4"/>
    <w:rsid w:val="00A2336A"/>
    <w:rsid w:val="00A2360F"/>
    <w:rsid w:val="00A2605B"/>
    <w:rsid w:val="00A2609C"/>
    <w:rsid w:val="00A26BC6"/>
    <w:rsid w:val="00A27BB7"/>
    <w:rsid w:val="00A3167B"/>
    <w:rsid w:val="00A3230D"/>
    <w:rsid w:val="00A32892"/>
    <w:rsid w:val="00A337BF"/>
    <w:rsid w:val="00A33DD7"/>
    <w:rsid w:val="00A3528F"/>
    <w:rsid w:val="00A366B3"/>
    <w:rsid w:val="00A36FF6"/>
    <w:rsid w:val="00A37835"/>
    <w:rsid w:val="00A400FB"/>
    <w:rsid w:val="00A4125A"/>
    <w:rsid w:val="00A427B5"/>
    <w:rsid w:val="00A42EA8"/>
    <w:rsid w:val="00A4315E"/>
    <w:rsid w:val="00A448E1"/>
    <w:rsid w:val="00A451A8"/>
    <w:rsid w:val="00A45285"/>
    <w:rsid w:val="00A51342"/>
    <w:rsid w:val="00A5167F"/>
    <w:rsid w:val="00A51D5B"/>
    <w:rsid w:val="00A51EDD"/>
    <w:rsid w:val="00A526F0"/>
    <w:rsid w:val="00A55EBC"/>
    <w:rsid w:val="00A56249"/>
    <w:rsid w:val="00A56E6C"/>
    <w:rsid w:val="00A57506"/>
    <w:rsid w:val="00A64F07"/>
    <w:rsid w:val="00A66B63"/>
    <w:rsid w:val="00A6713F"/>
    <w:rsid w:val="00A70719"/>
    <w:rsid w:val="00A71251"/>
    <w:rsid w:val="00A71318"/>
    <w:rsid w:val="00A714AE"/>
    <w:rsid w:val="00A72B1E"/>
    <w:rsid w:val="00A732B3"/>
    <w:rsid w:val="00A73693"/>
    <w:rsid w:val="00A74B40"/>
    <w:rsid w:val="00A74D42"/>
    <w:rsid w:val="00A764F9"/>
    <w:rsid w:val="00A800BF"/>
    <w:rsid w:val="00A80624"/>
    <w:rsid w:val="00A823F9"/>
    <w:rsid w:val="00A82810"/>
    <w:rsid w:val="00A83A5B"/>
    <w:rsid w:val="00A85EFA"/>
    <w:rsid w:val="00A87207"/>
    <w:rsid w:val="00A87944"/>
    <w:rsid w:val="00A87EED"/>
    <w:rsid w:val="00A912BF"/>
    <w:rsid w:val="00A92640"/>
    <w:rsid w:val="00A93AAD"/>
    <w:rsid w:val="00A93F44"/>
    <w:rsid w:val="00A94B75"/>
    <w:rsid w:val="00A951EE"/>
    <w:rsid w:val="00A9553B"/>
    <w:rsid w:val="00A95B85"/>
    <w:rsid w:val="00A96D2C"/>
    <w:rsid w:val="00A978E5"/>
    <w:rsid w:val="00AA032F"/>
    <w:rsid w:val="00AA0559"/>
    <w:rsid w:val="00AA0851"/>
    <w:rsid w:val="00AA1716"/>
    <w:rsid w:val="00AA1F8F"/>
    <w:rsid w:val="00AA26B1"/>
    <w:rsid w:val="00AA3F61"/>
    <w:rsid w:val="00AA4A8A"/>
    <w:rsid w:val="00AA4FC6"/>
    <w:rsid w:val="00AA643A"/>
    <w:rsid w:val="00AB2D5F"/>
    <w:rsid w:val="00AB64F5"/>
    <w:rsid w:val="00AB7333"/>
    <w:rsid w:val="00AB75A4"/>
    <w:rsid w:val="00AB7F58"/>
    <w:rsid w:val="00AC1176"/>
    <w:rsid w:val="00AC1543"/>
    <w:rsid w:val="00AC2A9E"/>
    <w:rsid w:val="00AC2D08"/>
    <w:rsid w:val="00AC3E3B"/>
    <w:rsid w:val="00AC50AE"/>
    <w:rsid w:val="00AC5CE0"/>
    <w:rsid w:val="00AC7C8D"/>
    <w:rsid w:val="00AD018C"/>
    <w:rsid w:val="00AD02DD"/>
    <w:rsid w:val="00AD12E6"/>
    <w:rsid w:val="00AD15F5"/>
    <w:rsid w:val="00AD3B7F"/>
    <w:rsid w:val="00AD3C62"/>
    <w:rsid w:val="00AD3E73"/>
    <w:rsid w:val="00AD47FC"/>
    <w:rsid w:val="00AD64DB"/>
    <w:rsid w:val="00AD6C3D"/>
    <w:rsid w:val="00AE00F1"/>
    <w:rsid w:val="00AE2D6F"/>
    <w:rsid w:val="00AE2E87"/>
    <w:rsid w:val="00AE37D7"/>
    <w:rsid w:val="00AE455D"/>
    <w:rsid w:val="00AE61DC"/>
    <w:rsid w:val="00AE73AE"/>
    <w:rsid w:val="00AF0375"/>
    <w:rsid w:val="00AF121A"/>
    <w:rsid w:val="00AF2063"/>
    <w:rsid w:val="00AF2AFD"/>
    <w:rsid w:val="00AF3386"/>
    <w:rsid w:val="00AF344C"/>
    <w:rsid w:val="00AF4E7D"/>
    <w:rsid w:val="00AF53FE"/>
    <w:rsid w:val="00AF5624"/>
    <w:rsid w:val="00AF5F9D"/>
    <w:rsid w:val="00AF6CFE"/>
    <w:rsid w:val="00AF74CB"/>
    <w:rsid w:val="00AF7823"/>
    <w:rsid w:val="00B00143"/>
    <w:rsid w:val="00B004D5"/>
    <w:rsid w:val="00B005EF"/>
    <w:rsid w:val="00B01071"/>
    <w:rsid w:val="00B012C8"/>
    <w:rsid w:val="00B02189"/>
    <w:rsid w:val="00B03C1D"/>
    <w:rsid w:val="00B03CAF"/>
    <w:rsid w:val="00B04595"/>
    <w:rsid w:val="00B04C0A"/>
    <w:rsid w:val="00B04CA8"/>
    <w:rsid w:val="00B04CB3"/>
    <w:rsid w:val="00B06E2A"/>
    <w:rsid w:val="00B07114"/>
    <w:rsid w:val="00B10B60"/>
    <w:rsid w:val="00B11B2D"/>
    <w:rsid w:val="00B13642"/>
    <w:rsid w:val="00B228CE"/>
    <w:rsid w:val="00B239CE"/>
    <w:rsid w:val="00B25562"/>
    <w:rsid w:val="00B27278"/>
    <w:rsid w:val="00B274E7"/>
    <w:rsid w:val="00B30EF5"/>
    <w:rsid w:val="00B31C41"/>
    <w:rsid w:val="00B333E6"/>
    <w:rsid w:val="00B3396C"/>
    <w:rsid w:val="00B3449C"/>
    <w:rsid w:val="00B34A54"/>
    <w:rsid w:val="00B34FFC"/>
    <w:rsid w:val="00B357CE"/>
    <w:rsid w:val="00B3586F"/>
    <w:rsid w:val="00B359B8"/>
    <w:rsid w:val="00B35FDA"/>
    <w:rsid w:val="00B363BB"/>
    <w:rsid w:val="00B366D8"/>
    <w:rsid w:val="00B4072C"/>
    <w:rsid w:val="00B4112C"/>
    <w:rsid w:val="00B41AF2"/>
    <w:rsid w:val="00B420F9"/>
    <w:rsid w:val="00B4330D"/>
    <w:rsid w:val="00B45303"/>
    <w:rsid w:val="00B459FF"/>
    <w:rsid w:val="00B45CDE"/>
    <w:rsid w:val="00B46C96"/>
    <w:rsid w:val="00B471CB"/>
    <w:rsid w:val="00B5066C"/>
    <w:rsid w:val="00B50712"/>
    <w:rsid w:val="00B5151F"/>
    <w:rsid w:val="00B5332C"/>
    <w:rsid w:val="00B53EF2"/>
    <w:rsid w:val="00B546B1"/>
    <w:rsid w:val="00B55C45"/>
    <w:rsid w:val="00B5740F"/>
    <w:rsid w:val="00B57657"/>
    <w:rsid w:val="00B5776E"/>
    <w:rsid w:val="00B627A7"/>
    <w:rsid w:val="00B627FB"/>
    <w:rsid w:val="00B62B04"/>
    <w:rsid w:val="00B63510"/>
    <w:rsid w:val="00B640CB"/>
    <w:rsid w:val="00B67C93"/>
    <w:rsid w:val="00B705F2"/>
    <w:rsid w:val="00B7103B"/>
    <w:rsid w:val="00B71593"/>
    <w:rsid w:val="00B71F36"/>
    <w:rsid w:val="00B7264F"/>
    <w:rsid w:val="00B72B84"/>
    <w:rsid w:val="00B735D8"/>
    <w:rsid w:val="00B755EC"/>
    <w:rsid w:val="00B76B0B"/>
    <w:rsid w:val="00B772B8"/>
    <w:rsid w:val="00B77BF1"/>
    <w:rsid w:val="00B77C7E"/>
    <w:rsid w:val="00B80BCC"/>
    <w:rsid w:val="00B812DB"/>
    <w:rsid w:val="00B8174C"/>
    <w:rsid w:val="00B83D24"/>
    <w:rsid w:val="00B875FB"/>
    <w:rsid w:val="00B876ED"/>
    <w:rsid w:val="00B90381"/>
    <w:rsid w:val="00B90488"/>
    <w:rsid w:val="00B905F2"/>
    <w:rsid w:val="00B91EC5"/>
    <w:rsid w:val="00B92CB1"/>
    <w:rsid w:val="00B92CF2"/>
    <w:rsid w:val="00B92EC3"/>
    <w:rsid w:val="00B93E55"/>
    <w:rsid w:val="00B94547"/>
    <w:rsid w:val="00B96365"/>
    <w:rsid w:val="00B96D10"/>
    <w:rsid w:val="00BA088A"/>
    <w:rsid w:val="00BA2F39"/>
    <w:rsid w:val="00BA349B"/>
    <w:rsid w:val="00BA3D22"/>
    <w:rsid w:val="00BA48E9"/>
    <w:rsid w:val="00BA58F7"/>
    <w:rsid w:val="00BA6635"/>
    <w:rsid w:val="00BB0512"/>
    <w:rsid w:val="00BB0D15"/>
    <w:rsid w:val="00BB22BC"/>
    <w:rsid w:val="00BB25A8"/>
    <w:rsid w:val="00BB2ECF"/>
    <w:rsid w:val="00BB3679"/>
    <w:rsid w:val="00BB5B6D"/>
    <w:rsid w:val="00BB5D5C"/>
    <w:rsid w:val="00BC0E02"/>
    <w:rsid w:val="00BC1082"/>
    <w:rsid w:val="00BC1800"/>
    <w:rsid w:val="00BC427B"/>
    <w:rsid w:val="00BC4743"/>
    <w:rsid w:val="00BC479A"/>
    <w:rsid w:val="00BC64AA"/>
    <w:rsid w:val="00BD1135"/>
    <w:rsid w:val="00BD246F"/>
    <w:rsid w:val="00BD271A"/>
    <w:rsid w:val="00BD38AB"/>
    <w:rsid w:val="00BD44EE"/>
    <w:rsid w:val="00BD478F"/>
    <w:rsid w:val="00BD4F61"/>
    <w:rsid w:val="00BD5CD2"/>
    <w:rsid w:val="00BD6B50"/>
    <w:rsid w:val="00BD785A"/>
    <w:rsid w:val="00BE0381"/>
    <w:rsid w:val="00BE05A9"/>
    <w:rsid w:val="00BE10FF"/>
    <w:rsid w:val="00BE1483"/>
    <w:rsid w:val="00BE2079"/>
    <w:rsid w:val="00BE2895"/>
    <w:rsid w:val="00BE3966"/>
    <w:rsid w:val="00BE3E75"/>
    <w:rsid w:val="00BE4152"/>
    <w:rsid w:val="00BE525D"/>
    <w:rsid w:val="00BE5290"/>
    <w:rsid w:val="00BE5F38"/>
    <w:rsid w:val="00BE6085"/>
    <w:rsid w:val="00BE6A0D"/>
    <w:rsid w:val="00BE6CF9"/>
    <w:rsid w:val="00BE7E0D"/>
    <w:rsid w:val="00BF16D8"/>
    <w:rsid w:val="00BF336C"/>
    <w:rsid w:val="00BF41EB"/>
    <w:rsid w:val="00BF7141"/>
    <w:rsid w:val="00C0053F"/>
    <w:rsid w:val="00C00E32"/>
    <w:rsid w:val="00C02493"/>
    <w:rsid w:val="00C039A5"/>
    <w:rsid w:val="00C03AA3"/>
    <w:rsid w:val="00C0434A"/>
    <w:rsid w:val="00C049FA"/>
    <w:rsid w:val="00C04F7F"/>
    <w:rsid w:val="00C05A81"/>
    <w:rsid w:val="00C05C26"/>
    <w:rsid w:val="00C065F6"/>
    <w:rsid w:val="00C06931"/>
    <w:rsid w:val="00C103C3"/>
    <w:rsid w:val="00C116FE"/>
    <w:rsid w:val="00C119B3"/>
    <w:rsid w:val="00C139FC"/>
    <w:rsid w:val="00C15E64"/>
    <w:rsid w:val="00C15F74"/>
    <w:rsid w:val="00C16158"/>
    <w:rsid w:val="00C17D61"/>
    <w:rsid w:val="00C2103A"/>
    <w:rsid w:val="00C2107A"/>
    <w:rsid w:val="00C21153"/>
    <w:rsid w:val="00C21875"/>
    <w:rsid w:val="00C22593"/>
    <w:rsid w:val="00C22844"/>
    <w:rsid w:val="00C23CD0"/>
    <w:rsid w:val="00C25967"/>
    <w:rsid w:val="00C261B8"/>
    <w:rsid w:val="00C30DA6"/>
    <w:rsid w:val="00C31765"/>
    <w:rsid w:val="00C31C1A"/>
    <w:rsid w:val="00C32613"/>
    <w:rsid w:val="00C3284E"/>
    <w:rsid w:val="00C329EC"/>
    <w:rsid w:val="00C32AAA"/>
    <w:rsid w:val="00C3563E"/>
    <w:rsid w:val="00C37260"/>
    <w:rsid w:val="00C37E20"/>
    <w:rsid w:val="00C41A59"/>
    <w:rsid w:val="00C43095"/>
    <w:rsid w:val="00C43CCC"/>
    <w:rsid w:val="00C4400B"/>
    <w:rsid w:val="00C4461B"/>
    <w:rsid w:val="00C46EBC"/>
    <w:rsid w:val="00C5345E"/>
    <w:rsid w:val="00C5383C"/>
    <w:rsid w:val="00C54008"/>
    <w:rsid w:val="00C546EE"/>
    <w:rsid w:val="00C559AB"/>
    <w:rsid w:val="00C562D0"/>
    <w:rsid w:val="00C565AA"/>
    <w:rsid w:val="00C570EB"/>
    <w:rsid w:val="00C57F8A"/>
    <w:rsid w:val="00C60066"/>
    <w:rsid w:val="00C60590"/>
    <w:rsid w:val="00C61A96"/>
    <w:rsid w:val="00C61C88"/>
    <w:rsid w:val="00C62641"/>
    <w:rsid w:val="00C6303A"/>
    <w:rsid w:val="00C63744"/>
    <w:rsid w:val="00C640F8"/>
    <w:rsid w:val="00C64B6B"/>
    <w:rsid w:val="00C64DEE"/>
    <w:rsid w:val="00C65D67"/>
    <w:rsid w:val="00C671E4"/>
    <w:rsid w:val="00C6725E"/>
    <w:rsid w:val="00C70039"/>
    <w:rsid w:val="00C70BEF"/>
    <w:rsid w:val="00C71024"/>
    <w:rsid w:val="00C71D67"/>
    <w:rsid w:val="00C73E51"/>
    <w:rsid w:val="00C7433F"/>
    <w:rsid w:val="00C76627"/>
    <w:rsid w:val="00C774BB"/>
    <w:rsid w:val="00C81B62"/>
    <w:rsid w:val="00C82BC7"/>
    <w:rsid w:val="00C832E8"/>
    <w:rsid w:val="00C83C87"/>
    <w:rsid w:val="00C8467F"/>
    <w:rsid w:val="00C84E43"/>
    <w:rsid w:val="00C8567D"/>
    <w:rsid w:val="00C86071"/>
    <w:rsid w:val="00C93196"/>
    <w:rsid w:val="00C939A6"/>
    <w:rsid w:val="00C93CE0"/>
    <w:rsid w:val="00C94CC5"/>
    <w:rsid w:val="00C95C47"/>
    <w:rsid w:val="00C967DC"/>
    <w:rsid w:val="00CA1E83"/>
    <w:rsid w:val="00CA23F0"/>
    <w:rsid w:val="00CA2406"/>
    <w:rsid w:val="00CA339C"/>
    <w:rsid w:val="00CA3830"/>
    <w:rsid w:val="00CA4882"/>
    <w:rsid w:val="00CA4BA3"/>
    <w:rsid w:val="00CA6B47"/>
    <w:rsid w:val="00CA7D35"/>
    <w:rsid w:val="00CB0A12"/>
    <w:rsid w:val="00CB3230"/>
    <w:rsid w:val="00CB371B"/>
    <w:rsid w:val="00CB381D"/>
    <w:rsid w:val="00CB4B50"/>
    <w:rsid w:val="00CB585A"/>
    <w:rsid w:val="00CB62D0"/>
    <w:rsid w:val="00CB693B"/>
    <w:rsid w:val="00CB74B0"/>
    <w:rsid w:val="00CB7D4E"/>
    <w:rsid w:val="00CC0119"/>
    <w:rsid w:val="00CC0C85"/>
    <w:rsid w:val="00CC1213"/>
    <w:rsid w:val="00CC15E4"/>
    <w:rsid w:val="00CC304F"/>
    <w:rsid w:val="00CC3A36"/>
    <w:rsid w:val="00CC414A"/>
    <w:rsid w:val="00CC642E"/>
    <w:rsid w:val="00CC6C28"/>
    <w:rsid w:val="00CC7549"/>
    <w:rsid w:val="00CC7CA8"/>
    <w:rsid w:val="00CD0B51"/>
    <w:rsid w:val="00CD15FF"/>
    <w:rsid w:val="00CD1C07"/>
    <w:rsid w:val="00CD2977"/>
    <w:rsid w:val="00CD2A1B"/>
    <w:rsid w:val="00CD5F6D"/>
    <w:rsid w:val="00CD6D52"/>
    <w:rsid w:val="00CD7176"/>
    <w:rsid w:val="00CD72B1"/>
    <w:rsid w:val="00CD767A"/>
    <w:rsid w:val="00CD7AC2"/>
    <w:rsid w:val="00CE012D"/>
    <w:rsid w:val="00CE0E65"/>
    <w:rsid w:val="00CE13A9"/>
    <w:rsid w:val="00CE2CDA"/>
    <w:rsid w:val="00CE2F58"/>
    <w:rsid w:val="00CE340C"/>
    <w:rsid w:val="00CE3846"/>
    <w:rsid w:val="00CE39A3"/>
    <w:rsid w:val="00CE3AAB"/>
    <w:rsid w:val="00CE5C7B"/>
    <w:rsid w:val="00CE6C65"/>
    <w:rsid w:val="00CF0D94"/>
    <w:rsid w:val="00CF14FD"/>
    <w:rsid w:val="00CF2E57"/>
    <w:rsid w:val="00CF34F1"/>
    <w:rsid w:val="00CF39C4"/>
    <w:rsid w:val="00CF4C2E"/>
    <w:rsid w:val="00CF5828"/>
    <w:rsid w:val="00CF65DB"/>
    <w:rsid w:val="00D010F8"/>
    <w:rsid w:val="00D015BC"/>
    <w:rsid w:val="00D016EF"/>
    <w:rsid w:val="00D01D7A"/>
    <w:rsid w:val="00D04BA0"/>
    <w:rsid w:val="00D05115"/>
    <w:rsid w:val="00D06DEF"/>
    <w:rsid w:val="00D13042"/>
    <w:rsid w:val="00D13330"/>
    <w:rsid w:val="00D13C1F"/>
    <w:rsid w:val="00D14B70"/>
    <w:rsid w:val="00D15656"/>
    <w:rsid w:val="00D159D0"/>
    <w:rsid w:val="00D1736F"/>
    <w:rsid w:val="00D2062D"/>
    <w:rsid w:val="00D2187A"/>
    <w:rsid w:val="00D221E1"/>
    <w:rsid w:val="00D2223F"/>
    <w:rsid w:val="00D2270E"/>
    <w:rsid w:val="00D22B2B"/>
    <w:rsid w:val="00D23C8D"/>
    <w:rsid w:val="00D24C96"/>
    <w:rsid w:val="00D2510F"/>
    <w:rsid w:val="00D26E1D"/>
    <w:rsid w:val="00D26F43"/>
    <w:rsid w:val="00D27B88"/>
    <w:rsid w:val="00D27FCE"/>
    <w:rsid w:val="00D30AB4"/>
    <w:rsid w:val="00D30EC7"/>
    <w:rsid w:val="00D316EC"/>
    <w:rsid w:val="00D326DE"/>
    <w:rsid w:val="00D327DA"/>
    <w:rsid w:val="00D3414C"/>
    <w:rsid w:val="00D36E39"/>
    <w:rsid w:val="00D378A5"/>
    <w:rsid w:val="00D40075"/>
    <w:rsid w:val="00D41263"/>
    <w:rsid w:val="00D4161A"/>
    <w:rsid w:val="00D42926"/>
    <w:rsid w:val="00D42E4B"/>
    <w:rsid w:val="00D44266"/>
    <w:rsid w:val="00D44609"/>
    <w:rsid w:val="00D4561B"/>
    <w:rsid w:val="00D45B2E"/>
    <w:rsid w:val="00D474B4"/>
    <w:rsid w:val="00D50BFD"/>
    <w:rsid w:val="00D51645"/>
    <w:rsid w:val="00D52466"/>
    <w:rsid w:val="00D52A50"/>
    <w:rsid w:val="00D52BBD"/>
    <w:rsid w:val="00D5315C"/>
    <w:rsid w:val="00D54008"/>
    <w:rsid w:val="00D55485"/>
    <w:rsid w:val="00D57131"/>
    <w:rsid w:val="00D5773A"/>
    <w:rsid w:val="00D57BA1"/>
    <w:rsid w:val="00D6013A"/>
    <w:rsid w:val="00D60F50"/>
    <w:rsid w:val="00D61760"/>
    <w:rsid w:val="00D61ABD"/>
    <w:rsid w:val="00D61AD9"/>
    <w:rsid w:val="00D6324A"/>
    <w:rsid w:val="00D63C75"/>
    <w:rsid w:val="00D63E95"/>
    <w:rsid w:val="00D67C29"/>
    <w:rsid w:val="00D71A93"/>
    <w:rsid w:val="00D721B0"/>
    <w:rsid w:val="00D72B89"/>
    <w:rsid w:val="00D731D1"/>
    <w:rsid w:val="00D75BDE"/>
    <w:rsid w:val="00D7696D"/>
    <w:rsid w:val="00D76DB0"/>
    <w:rsid w:val="00D8198D"/>
    <w:rsid w:val="00D83816"/>
    <w:rsid w:val="00D84076"/>
    <w:rsid w:val="00D84AF2"/>
    <w:rsid w:val="00D84FF2"/>
    <w:rsid w:val="00D851EA"/>
    <w:rsid w:val="00D86E79"/>
    <w:rsid w:val="00D870DF"/>
    <w:rsid w:val="00D87B21"/>
    <w:rsid w:val="00D9112E"/>
    <w:rsid w:val="00D929D2"/>
    <w:rsid w:val="00D95E25"/>
    <w:rsid w:val="00D965C4"/>
    <w:rsid w:val="00D966A5"/>
    <w:rsid w:val="00D97281"/>
    <w:rsid w:val="00DA00BD"/>
    <w:rsid w:val="00DA1E87"/>
    <w:rsid w:val="00DA4C9F"/>
    <w:rsid w:val="00DA5B53"/>
    <w:rsid w:val="00DA61D7"/>
    <w:rsid w:val="00DA79BF"/>
    <w:rsid w:val="00DA79F1"/>
    <w:rsid w:val="00DB0C71"/>
    <w:rsid w:val="00DB0F60"/>
    <w:rsid w:val="00DB2885"/>
    <w:rsid w:val="00DB3C0B"/>
    <w:rsid w:val="00DB50E0"/>
    <w:rsid w:val="00DB566E"/>
    <w:rsid w:val="00DB5B1C"/>
    <w:rsid w:val="00DB5C46"/>
    <w:rsid w:val="00DC01A9"/>
    <w:rsid w:val="00DC0969"/>
    <w:rsid w:val="00DC1E19"/>
    <w:rsid w:val="00DC2D19"/>
    <w:rsid w:val="00DC571D"/>
    <w:rsid w:val="00DC5B4B"/>
    <w:rsid w:val="00DD298D"/>
    <w:rsid w:val="00DD2EFF"/>
    <w:rsid w:val="00DD42D8"/>
    <w:rsid w:val="00DD58D9"/>
    <w:rsid w:val="00DD5994"/>
    <w:rsid w:val="00DD6E14"/>
    <w:rsid w:val="00DE086F"/>
    <w:rsid w:val="00DE1546"/>
    <w:rsid w:val="00DE1C46"/>
    <w:rsid w:val="00DE2EEA"/>
    <w:rsid w:val="00DE35C3"/>
    <w:rsid w:val="00DE4155"/>
    <w:rsid w:val="00DE4A73"/>
    <w:rsid w:val="00DE68F1"/>
    <w:rsid w:val="00DE6E61"/>
    <w:rsid w:val="00DE7294"/>
    <w:rsid w:val="00DE72E6"/>
    <w:rsid w:val="00DE7F12"/>
    <w:rsid w:val="00DF01AE"/>
    <w:rsid w:val="00DF03B6"/>
    <w:rsid w:val="00DF3179"/>
    <w:rsid w:val="00DF3A56"/>
    <w:rsid w:val="00DF42D8"/>
    <w:rsid w:val="00DF51DB"/>
    <w:rsid w:val="00DF7150"/>
    <w:rsid w:val="00DF7C97"/>
    <w:rsid w:val="00E00211"/>
    <w:rsid w:val="00E00567"/>
    <w:rsid w:val="00E01F10"/>
    <w:rsid w:val="00E0253E"/>
    <w:rsid w:val="00E02D0A"/>
    <w:rsid w:val="00E0508F"/>
    <w:rsid w:val="00E05744"/>
    <w:rsid w:val="00E06267"/>
    <w:rsid w:val="00E07387"/>
    <w:rsid w:val="00E10053"/>
    <w:rsid w:val="00E101B1"/>
    <w:rsid w:val="00E117B3"/>
    <w:rsid w:val="00E12AF4"/>
    <w:rsid w:val="00E132B2"/>
    <w:rsid w:val="00E14561"/>
    <w:rsid w:val="00E14789"/>
    <w:rsid w:val="00E156F6"/>
    <w:rsid w:val="00E2045A"/>
    <w:rsid w:val="00E21FF3"/>
    <w:rsid w:val="00E21FFF"/>
    <w:rsid w:val="00E22057"/>
    <w:rsid w:val="00E221D1"/>
    <w:rsid w:val="00E22D11"/>
    <w:rsid w:val="00E23212"/>
    <w:rsid w:val="00E236C6"/>
    <w:rsid w:val="00E23B10"/>
    <w:rsid w:val="00E23F85"/>
    <w:rsid w:val="00E26182"/>
    <w:rsid w:val="00E26F59"/>
    <w:rsid w:val="00E303FD"/>
    <w:rsid w:val="00E30E37"/>
    <w:rsid w:val="00E31329"/>
    <w:rsid w:val="00E31B3E"/>
    <w:rsid w:val="00E320B5"/>
    <w:rsid w:val="00E3260F"/>
    <w:rsid w:val="00E32A20"/>
    <w:rsid w:val="00E32F3A"/>
    <w:rsid w:val="00E33782"/>
    <w:rsid w:val="00E3406D"/>
    <w:rsid w:val="00E34526"/>
    <w:rsid w:val="00E36218"/>
    <w:rsid w:val="00E36544"/>
    <w:rsid w:val="00E36B63"/>
    <w:rsid w:val="00E373A6"/>
    <w:rsid w:val="00E40F58"/>
    <w:rsid w:val="00E444EA"/>
    <w:rsid w:val="00E45813"/>
    <w:rsid w:val="00E503AF"/>
    <w:rsid w:val="00E51C55"/>
    <w:rsid w:val="00E54F0F"/>
    <w:rsid w:val="00E5733B"/>
    <w:rsid w:val="00E5790B"/>
    <w:rsid w:val="00E614DE"/>
    <w:rsid w:val="00E61AC6"/>
    <w:rsid w:val="00E62890"/>
    <w:rsid w:val="00E634E5"/>
    <w:rsid w:val="00E64636"/>
    <w:rsid w:val="00E64FF9"/>
    <w:rsid w:val="00E66310"/>
    <w:rsid w:val="00E6785C"/>
    <w:rsid w:val="00E700E3"/>
    <w:rsid w:val="00E70300"/>
    <w:rsid w:val="00E70A1E"/>
    <w:rsid w:val="00E70B04"/>
    <w:rsid w:val="00E7509D"/>
    <w:rsid w:val="00E81646"/>
    <w:rsid w:val="00E81AB4"/>
    <w:rsid w:val="00E84640"/>
    <w:rsid w:val="00E856E4"/>
    <w:rsid w:val="00E85A9D"/>
    <w:rsid w:val="00E86551"/>
    <w:rsid w:val="00E91079"/>
    <w:rsid w:val="00E9148C"/>
    <w:rsid w:val="00E91C32"/>
    <w:rsid w:val="00E934BB"/>
    <w:rsid w:val="00E93ECE"/>
    <w:rsid w:val="00E94BA8"/>
    <w:rsid w:val="00E9566D"/>
    <w:rsid w:val="00E962A8"/>
    <w:rsid w:val="00E9635E"/>
    <w:rsid w:val="00E96CB5"/>
    <w:rsid w:val="00EA0036"/>
    <w:rsid w:val="00EA0928"/>
    <w:rsid w:val="00EA138E"/>
    <w:rsid w:val="00EA1496"/>
    <w:rsid w:val="00EA19DC"/>
    <w:rsid w:val="00EA2379"/>
    <w:rsid w:val="00EA24D4"/>
    <w:rsid w:val="00EA2EBB"/>
    <w:rsid w:val="00EA42C7"/>
    <w:rsid w:val="00EA62AA"/>
    <w:rsid w:val="00EA68B3"/>
    <w:rsid w:val="00EA6982"/>
    <w:rsid w:val="00EA7B2F"/>
    <w:rsid w:val="00EB1513"/>
    <w:rsid w:val="00EB1F5A"/>
    <w:rsid w:val="00EB3256"/>
    <w:rsid w:val="00EB506F"/>
    <w:rsid w:val="00EB52E8"/>
    <w:rsid w:val="00EB627F"/>
    <w:rsid w:val="00EB628B"/>
    <w:rsid w:val="00EB74A7"/>
    <w:rsid w:val="00EC04FD"/>
    <w:rsid w:val="00EC1B56"/>
    <w:rsid w:val="00EC3EF4"/>
    <w:rsid w:val="00EC423F"/>
    <w:rsid w:val="00EC5842"/>
    <w:rsid w:val="00EC63C9"/>
    <w:rsid w:val="00EC6EDE"/>
    <w:rsid w:val="00ED0099"/>
    <w:rsid w:val="00ED1AB2"/>
    <w:rsid w:val="00ED26B9"/>
    <w:rsid w:val="00ED29AD"/>
    <w:rsid w:val="00ED2C61"/>
    <w:rsid w:val="00ED3E34"/>
    <w:rsid w:val="00ED5904"/>
    <w:rsid w:val="00ED5D70"/>
    <w:rsid w:val="00ED6F25"/>
    <w:rsid w:val="00ED76D2"/>
    <w:rsid w:val="00EE2402"/>
    <w:rsid w:val="00EE2963"/>
    <w:rsid w:val="00EE41A7"/>
    <w:rsid w:val="00EE4A21"/>
    <w:rsid w:val="00EE75C0"/>
    <w:rsid w:val="00EE7C18"/>
    <w:rsid w:val="00EF021A"/>
    <w:rsid w:val="00EF08CE"/>
    <w:rsid w:val="00EF1958"/>
    <w:rsid w:val="00EF2283"/>
    <w:rsid w:val="00EF229A"/>
    <w:rsid w:val="00EF5BD6"/>
    <w:rsid w:val="00EF7824"/>
    <w:rsid w:val="00EF78F7"/>
    <w:rsid w:val="00F012EE"/>
    <w:rsid w:val="00F03B7C"/>
    <w:rsid w:val="00F06715"/>
    <w:rsid w:val="00F06A04"/>
    <w:rsid w:val="00F07168"/>
    <w:rsid w:val="00F07B67"/>
    <w:rsid w:val="00F07C60"/>
    <w:rsid w:val="00F07DA1"/>
    <w:rsid w:val="00F1211F"/>
    <w:rsid w:val="00F12B21"/>
    <w:rsid w:val="00F141A4"/>
    <w:rsid w:val="00F15C9D"/>
    <w:rsid w:val="00F15F41"/>
    <w:rsid w:val="00F16123"/>
    <w:rsid w:val="00F172AB"/>
    <w:rsid w:val="00F17861"/>
    <w:rsid w:val="00F22A0F"/>
    <w:rsid w:val="00F230EC"/>
    <w:rsid w:val="00F23F64"/>
    <w:rsid w:val="00F25EA3"/>
    <w:rsid w:val="00F26462"/>
    <w:rsid w:val="00F26E7A"/>
    <w:rsid w:val="00F301B9"/>
    <w:rsid w:val="00F309AB"/>
    <w:rsid w:val="00F30C87"/>
    <w:rsid w:val="00F30CED"/>
    <w:rsid w:val="00F31A29"/>
    <w:rsid w:val="00F32857"/>
    <w:rsid w:val="00F32AAE"/>
    <w:rsid w:val="00F33350"/>
    <w:rsid w:val="00F338F8"/>
    <w:rsid w:val="00F33AD2"/>
    <w:rsid w:val="00F34771"/>
    <w:rsid w:val="00F35681"/>
    <w:rsid w:val="00F35B15"/>
    <w:rsid w:val="00F36CAD"/>
    <w:rsid w:val="00F36CDA"/>
    <w:rsid w:val="00F3725A"/>
    <w:rsid w:val="00F37579"/>
    <w:rsid w:val="00F43FA4"/>
    <w:rsid w:val="00F44530"/>
    <w:rsid w:val="00F44CFD"/>
    <w:rsid w:val="00F457CD"/>
    <w:rsid w:val="00F4659D"/>
    <w:rsid w:val="00F475FA"/>
    <w:rsid w:val="00F51339"/>
    <w:rsid w:val="00F52E6D"/>
    <w:rsid w:val="00F52F69"/>
    <w:rsid w:val="00F532B8"/>
    <w:rsid w:val="00F53909"/>
    <w:rsid w:val="00F53B23"/>
    <w:rsid w:val="00F53BB1"/>
    <w:rsid w:val="00F557D6"/>
    <w:rsid w:val="00F558DF"/>
    <w:rsid w:val="00F57E18"/>
    <w:rsid w:val="00F61318"/>
    <w:rsid w:val="00F6139B"/>
    <w:rsid w:val="00F613F0"/>
    <w:rsid w:val="00F61E59"/>
    <w:rsid w:val="00F620FC"/>
    <w:rsid w:val="00F62BDF"/>
    <w:rsid w:val="00F63B0C"/>
    <w:rsid w:val="00F64815"/>
    <w:rsid w:val="00F64EA3"/>
    <w:rsid w:val="00F65082"/>
    <w:rsid w:val="00F659B2"/>
    <w:rsid w:val="00F65A9F"/>
    <w:rsid w:val="00F66CCA"/>
    <w:rsid w:val="00F6766C"/>
    <w:rsid w:val="00F71384"/>
    <w:rsid w:val="00F72921"/>
    <w:rsid w:val="00F73BE7"/>
    <w:rsid w:val="00F740DB"/>
    <w:rsid w:val="00F75FE5"/>
    <w:rsid w:val="00F761A5"/>
    <w:rsid w:val="00F765B9"/>
    <w:rsid w:val="00F765BB"/>
    <w:rsid w:val="00F77F0F"/>
    <w:rsid w:val="00F81092"/>
    <w:rsid w:val="00F8271D"/>
    <w:rsid w:val="00F83466"/>
    <w:rsid w:val="00F848C8"/>
    <w:rsid w:val="00F84D83"/>
    <w:rsid w:val="00F869FF"/>
    <w:rsid w:val="00F87603"/>
    <w:rsid w:val="00F90020"/>
    <w:rsid w:val="00F9055C"/>
    <w:rsid w:val="00F9056D"/>
    <w:rsid w:val="00F9184B"/>
    <w:rsid w:val="00F91D38"/>
    <w:rsid w:val="00F92780"/>
    <w:rsid w:val="00F938C8"/>
    <w:rsid w:val="00F96557"/>
    <w:rsid w:val="00F9678F"/>
    <w:rsid w:val="00F96F3F"/>
    <w:rsid w:val="00F97232"/>
    <w:rsid w:val="00F97C15"/>
    <w:rsid w:val="00FA0C7F"/>
    <w:rsid w:val="00FA2191"/>
    <w:rsid w:val="00FA2606"/>
    <w:rsid w:val="00FA3AEF"/>
    <w:rsid w:val="00FA6653"/>
    <w:rsid w:val="00FA7353"/>
    <w:rsid w:val="00FB0142"/>
    <w:rsid w:val="00FB01A5"/>
    <w:rsid w:val="00FB1AC9"/>
    <w:rsid w:val="00FB1F73"/>
    <w:rsid w:val="00FB2DDB"/>
    <w:rsid w:val="00FB3649"/>
    <w:rsid w:val="00FB53ED"/>
    <w:rsid w:val="00FB6DF4"/>
    <w:rsid w:val="00FB7FEE"/>
    <w:rsid w:val="00FC0600"/>
    <w:rsid w:val="00FC0C28"/>
    <w:rsid w:val="00FC19A7"/>
    <w:rsid w:val="00FC1A15"/>
    <w:rsid w:val="00FC1D0E"/>
    <w:rsid w:val="00FC29AF"/>
    <w:rsid w:val="00FC304C"/>
    <w:rsid w:val="00FC3EEF"/>
    <w:rsid w:val="00FC44CF"/>
    <w:rsid w:val="00FC477A"/>
    <w:rsid w:val="00FC4A76"/>
    <w:rsid w:val="00FC4CF1"/>
    <w:rsid w:val="00FC6290"/>
    <w:rsid w:val="00FC7098"/>
    <w:rsid w:val="00FD1EC1"/>
    <w:rsid w:val="00FD31F4"/>
    <w:rsid w:val="00FD3328"/>
    <w:rsid w:val="00FD3AE2"/>
    <w:rsid w:val="00FD3F04"/>
    <w:rsid w:val="00FD415B"/>
    <w:rsid w:val="00FD416F"/>
    <w:rsid w:val="00FD4EB6"/>
    <w:rsid w:val="00FD52CC"/>
    <w:rsid w:val="00FD5392"/>
    <w:rsid w:val="00FD6684"/>
    <w:rsid w:val="00FE0353"/>
    <w:rsid w:val="00FE178B"/>
    <w:rsid w:val="00FE3029"/>
    <w:rsid w:val="00FE42D2"/>
    <w:rsid w:val="00FE60A8"/>
    <w:rsid w:val="00FE6FE0"/>
    <w:rsid w:val="00FE71DB"/>
    <w:rsid w:val="00FE789F"/>
    <w:rsid w:val="00FE7971"/>
    <w:rsid w:val="00FF1C77"/>
    <w:rsid w:val="00FF245A"/>
    <w:rsid w:val="00FF475C"/>
    <w:rsid w:val="00FF4774"/>
    <w:rsid w:val="00FF5611"/>
    <w:rsid w:val="00FF57A1"/>
    <w:rsid w:val="00FF63A4"/>
    <w:rsid w:val="00FF705B"/>
    <w:rsid w:val="00FF70E1"/>
    <w:rsid w:val="00FF75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C5A6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99" w:unhideWhenUsed="1" w:qFormat="1"/>
    <w:lsdException w:name="toc 6" w:semiHidden="1" w:uiPriority="99" w:unhideWhenUsed="1" w:qFormat="1"/>
    <w:lsdException w:name="toc 7" w:semiHidden="1" w:unhideWhenUsed="1"/>
    <w:lsdException w:name="toc 8" w:semiHidden="1" w:unhideWhenUsed="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2" w:unhideWhenUsed="1" w:qFormat="1"/>
    <w:lsdException w:name="endnote reference" w:semiHidden="1" w:uiPriority="2"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4461B"/>
    <w:pPr>
      <w:tabs>
        <w:tab w:val="left" w:pos="360"/>
        <w:tab w:val="left" w:pos="720"/>
        <w:tab w:val="left" w:pos="1080"/>
      </w:tabs>
    </w:pPr>
  </w:style>
  <w:style w:type="paragraph" w:styleId="Heading1">
    <w:name w:val="heading 1"/>
    <w:next w:val="BodyText"/>
    <w:link w:val="Heading1Char"/>
    <w:qFormat/>
    <w:rsid w:val="00EA62AA"/>
    <w:pPr>
      <w:keepNext/>
      <w:numPr>
        <w:numId w:val="1"/>
      </w:numPr>
      <w:tabs>
        <w:tab w:val="left" w:pos="540"/>
      </w:tabs>
      <w:spacing w:after="360"/>
      <w:ind w:left="0"/>
      <w:jc w:val="center"/>
      <w:outlineLvl w:val="0"/>
    </w:pPr>
    <w:rPr>
      <w:rFonts w:ascii="Arial" w:hAnsi="Arial"/>
      <w:b/>
      <w:kern w:val="28"/>
      <w:sz w:val="32"/>
    </w:rPr>
  </w:style>
  <w:style w:type="paragraph" w:styleId="Heading2">
    <w:name w:val="heading 2"/>
    <w:basedOn w:val="Heading1"/>
    <w:next w:val="BodyText"/>
    <w:qFormat/>
    <w:rsid w:val="00EA62AA"/>
    <w:pPr>
      <w:numPr>
        <w:ilvl w:val="1"/>
      </w:numPr>
      <w:tabs>
        <w:tab w:val="clear" w:pos="540"/>
      </w:tabs>
      <w:spacing w:before="360" w:after="0"/>
      <w:jc w:val="left"/>
      <w:outlineLvl w:val="1"/>
    </w:pPr>
    <w:rPr>
      <w:sz w:val="28"/>
    </w:rPr>
  </w:style>
  <w:style w:type="paragraph" w:styleId="Heading3">
    <w:name w:val="heading 3"/>
    <w:basedOn w:val="Heading2"/>
    <w:next w:val="BodyText"/>
    <w:qFormat/>
    <w:rsid w:val="00EA62AA"/>
    <w:pPr>
      <w:numPr>
        <w:ilvl w:val="2"/>
      </w:numPr>
      <w:outlineLvl w:val="2"/>
    </w:pPr>
    <w:rPr>
      <w:sz w:val="24"/>
    </w:rPr>
  </w:style>
  <w:style w:type="paragraph" w:styleId="Heading4">
    <w:name w:val="heading 4"/>
    <w:basedOn w:val="Heading3"/>
    <w:next w:val="BodyText"/>
    <w:qFormat/>
    <w:rsid w:val="00EA62AA"/>
    <w:pPr>
      <w:numPr>
        <w:ilvl w:val="3"/>
      </w:numPr>
      <w:outlineLvl w:val="3"/>
    </w:pPr>
    <w:rPr>
      <w:sz w:val="22"/>
    </w:rPr>
  </w:style>
  <w:style w:type="paragraph" w:styleId="Heading5">
    <w:name w:val="heading 5"/>
    <w:basedOn w:val="Heading4"/>
    <w:next w:val="Normal"/>
    <w:qFormat/>
    <w:rsid w:val="00EA62AA"/>
    <w:pPr>
      <w:numPr>
        <w:ilvl w:val="4"/>
      </w:numPr>
      <w:outlineLvl w:val="4"/>
    </w:pPr>
  </w:style>
  <w:style w:type="paragraph" w:styleId="Heading6">
    <w:name w:val="heading 6"/>
    <w:basedOn w:val="Normal"/>
    <w:next w:val="Heading-FrontTOC"/>
    <w:link w:val="Heading6Char"/>
    <w:qFormat/>
    <w:rsid w:val="00EA62AA"/>
    <w:pPr>
      <w:numPr>
        <w:ilvl w:val="5"/>
        <w:numId w:val="1"/>
      </w:numPr>
      <w:tabs>
        <w:tab w:val="clear" w:pos="360"/>
        <w:tab w:val="clear" w:pos="720"/>
      </w:tabs>
      <w:spacing w:before="2400" w:after="60"/>
      <w:jc w:val="center"/>
      <w:outlineLvl w:val="5"/>
    </w:pPr>
    <w:rPr>
      <w:rFonts w:ascii="Arial" w:hAnsi="Arial"/>
      <w:b/>
      <w:sz w:val="32"/>
    </w:rPr>
  </w:style>
  <w:style w:type="paragraph" w:styleId="Heading7">
    <w:name w:val="heading 7"/>
    <w:basedOn w:val="Heading2"/>
    <w:next w:val="BodyText"/>
    <w:qFormat/>
    <w:rsid w:val="00EA62AA"/>
    <w:pPr>
      <w:numPr>
        <w:ilvl w:val="6"/>
      </w:numPr>
      <w:outlineLvl w:val="6"/>
    </w:pPr>
  </w:style>
  <w:style w:type="paragraph" w:styleId="Heading8">
    <w:name w:val="heading 8"/>
    <w:basedOn w:val="Heading4"/>
    <w:next w:val="BodyText"/>
    <w:qFormat/>
    <w:rsid w:val="00EA62AA"/>
    <w:pPr>
      <w:numPr>
        <w:ilvl w:val="7"/>
      </w:numPr>
      <w:outlineLvl w:val="7"/>
    </w:pPr>
    <w:rPr>
      <w:sz w:val="24"/>
    </w:rPr>
  </w:style>
  <w:style w:type="paragraph" w:styleId="Heading9">
    <w:name w:val="heading 9"/>
    <w:basedOn w:val="Heading4"/>
    <w:next w:val="BodyText"/>
    <w:qFormat/>
    <w:rsid w:val="00EA62A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ronyms">
    <w:name w:val="Acronyms"/>
    <w:qFormat/>
    <w:rsid w:val="00EA62AA"/>
    <w:pPr>
      <w:spacing w:before="60" w:line="264" w:lineRule="auto"/>
      <w:ind w:left="2160" w:hanging="2160"/>
    </w:pPr>
  </w:style>
  <w:style w:type="paragraph" w:styleId="BodyText">
    <w:name w:val="Body Text"/>
    <w:basedOn w:val="Normal"/>
    <w:link w:val="BodyTextChar"/>
    <w:qFormat/>
    <w:rsid w:val="00EA62AA"/>
    <w:pPr>
      <w:spacing w:before="240"/>
    </w:pPr>
  </w:style>
  <w:style w:type="paragraph" w:styleId="Caption">
    <w:name w:val="caption"/>
    <w:basedOn w:val="Normal"/>
    <w:next w:val="Normal"/>
    <w:uiPriority w:val="1"/>
    <w:semiHidden/>
    <w:qFormat/>
    <w:rsid w:val="00EA62AA"/>
    <w:pPr>
      <w:jc w:val="center"/>
    </w:pPr>
  </w:style>
  <w:style w:type="paragraph" w:customStyle="1" w:styleId="Caption-Fig">
    <w:name w:val="Caption-Fig"/>
    <w:basedOn w:val="Caption"/>
    <w:next w:val="Normal"/>
    <w:qFormat/>
    <w:rsid w:val="00EA62AA"/>
    <w:pPr>
      <w:tabs>
        <w:tab w:val="clear" w:pos="360"/>
        <w:tab w:val="clear" w:pos="720"/>
        <w:tab w:val="clear" w:pos="1080"/>
      </w:tabs>
      <w:spacing w:before="120" w:after="240"/>
      <w:ind w:left="1138" w:hanging="1138"/>
      <w:jc w:val="left"/>
    </w:pPr>
    <w:rPr>
      <w:b/>
    </w:rPr>
  </w:style>
  <w:style w:type="paragraph" w:customStyle="1" w:styleId="Caption-Tab">
    <w:name w:val="Caption-Tab"/>
    <w:basedOn w:val="Caption"/>
    <w:next w:val="Normal"/>
    <w:qFormat/>
    <w:rsid w:val="00EA62AA"/>
    <w:pPr>
      <w:keepNext/>
      <w:tabs>
        <w:tab w:val="clear" w:pos="360"/>
        <w:tab w:val="clear" w:pos="720"/>
        <w:tab w:val="clear" w:pos="1080"/>
      </w:tabs>
      <w:spacing w:before="480" w:after="120"/>
      <w:ind w:left="1037" w:hanging="1037"/>
      <w:jc w:val="left"/>
    </w:pPr>
    <w:rPr>
      <w:b/>
    </w:rPr>
  </w:style>
  <w:style w:type="paragraph" w:styleId="Footer">
    <w:name w:val="footer"/>
    <w:basedOn w:val="Header"/>
    <w:link w:val="FooterChar"/>
    <w:uiPriority w:val="99"/>
    <w:unhideWhenUsed/>
    <w:qFormat/>
    <w:rsid w:val="00EA62AA"/>
    <w:pPr>
      <w:jc w:val="center"/>
    </w:pPr>
  </w:style>
  <w:style w:type="character" w:styleId="FootnoteReference">
    <w:name w:val="footnote reference"/>
    <w:basedOn w:val="DefaultParagraphFont"/>
    <w:unhideWhenUsed/>
    <w:rsid w:val="00EA62AA"/>
    <w:rPr>
      <w:rFonts w:ascii="Times New Roman" w:hAnsi="Times New Roman"/>
      <w:sz w:val="22"/>
      <w:bdr w:val="none" w:sz="0" w:space="0" w:color="auto"/>
      <w:shd w:val="clear" w:color="auto" w:fill="auto"/>
      <w:vertAlign w:val="superscript"/>
    </w:rPr>
  </w:style>
  <w:style w:type="paragraph" w:styleId="FootnoteText">
    <w:name w:val="footnote text"/>
    <w:link w:val="FootnoteTextChar"/>
    <w:unhideWhenUsed/>
    <w:rsid w:val="00EA62AA"/>
    <w:rPr>
      <w:sz w:val="20"/>
    </w:rPr>
  </w:style>
  <w:style w:type="paragraph" w:styleId="Header">
    <w:name w:val="header"/>
    <w:link w:val="HeaderChar"/>
    <w:uiPriority w:val="99"/>
    <w:unhideWhenUsed/>
    <w:rsid w:val="00EA62AA"/>
  </w:style>
  <w:style w:type="paragraph" w:customStyle="1" w:styleId="Heading-FrontTOC">
    <w:name w:val="Heading-Front (TOC)"/>
    <w:basedOn w:val="Heading1"/>
    <w:next w:val="BodyText"/>
    <w:qFormat/>
    <w:rsid w:val="00EA62AA"/>
    <w:pPr>
      <w:numPr>
        <w:numId w:val="0"/>
      </w:numPr>
      <w:tabs>
        <w:tab w:val="clear" w:pos="540"/>
      </w:tabs>
      <w:spacing w:line="264" w:lineRule="auto"/>
    </w:pPr>
  </w:style>
  <w:style w:type="paragraph" w:customStyle="1" w:styleId="HeadingFrontNoTOC">
    <w:name w:val="Heading Front (No TOC)"/>
    <w:basedOn w:val="Heading-FrontTOC"/>
    <w:qFormat/>
    <w:rsid w:val="00EA62AA"/>
  </w:style>
  <w:style w:type="character" w:styleId="Hyperlink">
    <w:name w:val="Hyperlink"/>
    <w:basedOn w:val="DefaultParagraphFont"/>
    <w:uiPriority w:val="99"/>
    <w:unhideWhenUsed/>
    <w:rsid w:val="00EA62AA"/>
    <w:rPr>
      <w:color w:val="0000FF"/>
      <w:u w:val="single"/>
    </w:rPr>
  </w:style>
  <w:style w:type="paragraph" w:styleId="List">
    <w:name w:val="List"/>
    <w:basedOn w:val="BodyText"/>
    <w:qFormat/>
    <w:rsid w:val="00EA62AA"/>
    <w:pPr>
      <w:numPr>
        <w:numId w:val="2"/>
      </w:numPr>
      <w:spacing w:before="120"/>
    </w:pPr>
  </w:style>
  <w:style w:type="paragraph" w:styleId="ListBullet">
    <w:name w:val="List Bullet"/>
    <w:basedOn w:val="List"/>
    <w:qFormat/>
    <w:rsid w:val="00EA62AA"/>
    <w:pPr>
      <w:numPr>
        <w:numId w:val="3"/>
      </w:numPr>
      <w:tabs>
        <w:tab w:val="clear" w:pos="720"/>
        <w:tab w:val="clear" w:pos="1080"/>
      </w:tabs>
    </w:pPr>
  </w:style>
  <w:style w:type="paragraph" w:styleId="ListBullet2">
    <w:name w:val="List Bullet 2"/>
    <w:basedOn w:val="ListBullet"/>
    <w:qFormat/>
    <w:rsid w:val="00EA62AA"/>
    <w:pPr>
      <w:numPr>
        <w:numId w:val="4"/>
      </w:numPr>
    </w:pPr>
  </w:style>
  <w:style w:type="paragraph" w:styleId="ListBullet3">
    <w:name w:val="List Bullet 3"/>
    <w:basedOn w:val="ListBullet2"/>
    <w:qFormat/>
    <w:rsid w:val="00EA62AA"/>
    <w:pPr>
      <w:numPr>
        <w:numId w:val="5"/>
      </w:numPr>
    </w:pPr>
  </w:style>
  <w:style w:type="paragraph" w:customStyle="1" w:styleId="ListBulletLevel2">
    <w:name w:val="List Bullet Level 2"/>
    <w:basedOn w:val="Normal"/>
    <w:uiPriority w:val="99"/>
    <w:semiHidden/>
    <w:rsid w:val="00EA62AA"/>
    <w:pPr>
      <w:numPr>
        <w:numId w:val="6"/>
      </w:numPr>
      <w:tabs>
        <w:tab w:val="clear" w:pos="360"/>
      </w:tabs>
    </w:pPr>
  </w:style>
  <w:style w:type="paragraph" w:customStyle="1" w:styleId="ListLetter">
    <w:name w:val="List Letter"/>
    <w:rsid w:val="00EA62AA"/>
    <w:pPr>
      <w:numPr>
        <w:numId w:val="7"/>
      </w:numPr>
      <w:spacing w:before="120"/>
    </w:pPr>
  </w:style>
  <w:style w:type="paragraph" w:styleId="ListNumber">
    <w:name w:val="List Number"/>
    <w:link w:val="ListNumberChar"/>
    <w:rsid w:val="00EA62AA"/>
    <w:pPr>
      <w:numPr>
        <w:numId w:val="8"/>
      </w:numPr>
      <w:spacing w:before="120" w:line="264" w:lineRule="auto"/>
    </w:pPr>
  </w:style>
  <w:style w:type="character" w:styleId="PageNumber">
    <w:name w:val="page number"/>
    <w:basedOn w:val="DefaultParagraphFont"/>
    <w:uiPriority w:val="2"/>
    <w:unhideWhenUsed/>
    <w:qFormat/>
    <w:rsid w:val="00EA62AA"/>
    <w:rPr>
      <w:rFonts w:ascii="Times New Roman" w:hAnsi="Times New Roman"/>
      <w:sz w:val="22"/>
    </w:rPr>
  </w:style>
  <w:style w:type="table" w:customStyle="1" w:styleId="PNNLTableStyle">
    <w:name w:val="PNNL Table Style"/>
    <w:basedOn w:val="TableNormal"/>
    <w:rsid w:val="00EA62AA"/>
    <w:pPr>
      <w:spacing w:before="40" w:after="40"/>
    </w:pPr>
    <w:tblP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115" w:type="dxa"/>
        <w:right w:w="115" w:type="dxa"/>
      </w:tblCellMar>
    </w:tblPr>
    <w:tcPr>
      <w:vAlign w:val="center"/>
    </w:tcPr>
    <w:tblStylePr w:type="firstRow">
      <w:pPr>
        <w:jc w:val="center"/>
      </w:pPr>
      <w:rPr>
        <w:b w:val="0"/>
      </w:rPr>
      <w:tblPr/>
      <w:tcPr>
        <w:tcBorders>
          <w:top w:val="double" w:sz="6" w:space="0" w:color="auto"/>
          <w:left w:val="double" w:sz="6" w:space="0" w:color="auto"/>
          <w:bottom w:val="double" w:sz="6" w:space="0" w:color="auto"/>
          <w:right w:val="double" w:sz="6" w:space="0" w:color="auto"/>
        </w:tcBorders>
        <w:vAlign w:val="bottom"/>
      </w:tcPr>
    </w:tblStylePr>
  </w:style>
  <w:style w:type="table" w:styleId="TableGrid">
    <w:name w:val="Table Grid"/>
    <w:basedOn w:val="TableNormal"/>
    <w:rsid w:val="00EA62AA"/>
    <w:pPr>
      <w:tabs>
        <w:tab w:val="left" w:pos="360"/>
        <w:tab w:val="left" w:pos="720"/>
        <w:tab w:val="left" w:pos="1080"/>
      </w:tabs>
      <w:spacing w:line="264" w:lineRule="auto"/>
    </w:pPr>
    <w:rPr>
      <w:sz w:val="20"/>
    </w:rPr>
    <w:tblPr>
      <w:tblBorders>
        <w:top w:val="single" w:sz="8" w:space="0" w:color="auto"/>
        <w:bottom w:val="single" w:sz="8" w:space="0" w:color="auto"/>
      </w:tblBorders>
      <w:tblCellMar>
        <w:top w:w="29" w:type="dxa"/>
        <w:left w:w="115" w:type="dxa"/>
        <w:bottom w:w="29" w:type="dxa"/>
        <w:right w:w="115" w:type="dxa"/>
      </w:tblCellMar>
    </w:tblPr>
    <w:tblStylePr w:type="firstRow">
      <w:pPr>
        <w:wordWrap/>
        <w:spacing w:beforeLines="0" w:before="0" w:beforeAutospacing="0" w:afterLines="0" w:after="0" w:afterAutospacing="0" w:line="240" w:lineRule="auto"/>
        <w:ind w:leftChars="0" w:left="0" w:rightChars="0" w:right="0"/>
        <w:contextualSpacing w:val="0"/>
        <w:jc w:val="center"/>
      </w:pPr>
      <w:rPr>
        <w:rFonts w:ascii="Times New Roman" w:hAnsi="Times New Roman"/>
        <w:sz w:val="20"/>
      </w:rPr>
      <w:tblPr/>
      <w:tcPr>
        <w:tcBorders>
          <w:bottom w:val="single" w:sz="8" w:space="0" w:color="auto"/>
        </w:tcBorders>
        <w:vAlign w:val="bottom"/>
      </w:tcPr>
    </w:tblStylePr>
  </w:style>
  <w:style w:type="paragraph" w:styleId="TableofAuthorities">
    <w:name w:val="table of authorities"/>
    <w:basedOn w:val="Normal"/>
    <w:next w:val="Normal"/>
    <w:semiHidden/>
    <w:unhideWhenUsed/>
    <w:rsid w:val="00EA62AA"/>
    <w:pPr>
      <w:tabs>
        <w:tab w:val="clear" w:pos="360"/>
        <w:tab w:val="clear" w:pos="720"/>
        <w:tab w:val="clear" w:pos="1080"/>
      </w:tabs>
      <w:ind w:left="220" w:hanging="220"/>
    </w:pPr>
  </w:style>
  <w:style w:type="paragraph" w:styleId="TableofFigures">
    <w:name w:val="table of figures"/>
    <w:aliases w:val="Table of Tables"/>
    <w:basedOn w:val="Normal"/>
    <w:next w:val="Normal"/>
    <w:autoRedefine/>
    <w:uiPriority w:val="99"/>
    <w:unhideWhenUsed/>
    <w:qFormat/>
    <w:rsid w:val="00C2107A"/>
    <w:pPr>
      <w:tabs>
        <w:tab w:val="clear" w:pos="360"/>
        <w:tab w:val="clear" w:pos="720"/>
        <w:tab w:val="clear" w:pos="1080"/>
        <w:tab w:val="left" w:pos="461"/>
        <w:tab w:val="right" w:leader="dot" w:pos="9360"/>
      </w:tabs>
      <w:spacing w:before="80"/>
      <w:ind w:left="446" w:hanging="446"/>
    </w:pPr>
    <w:rPr>
      <w:rFonts w:ascii="Arial" w:hAnsi="Arial"/>
      <w:noProof/>
    </w:rPr>
  </w:style>
  <w:style w:type="paragraph" w:customStyle="1" w:styleId="tabletext">
    <w:name w:val="tabletext"/>
    <w:basedOn w:val="Normal"/>
    <w:semiHidden/>
    <w:unhideWhenUsed/>
    <w:qFormat/>
    <w:rsid w:val="00EA62AA"/>
    <w:pPr>
      <w:keepNext/>
      <w:spacing w:before="40" w:after="40"/>
    </w:pPr>
    <w:rPr>
      <w:sz w:val="20"/>
    </w:rPr>
  </w:style>
  <w:style w:type="paragraph" w:styleId="TOC1">
    <w:name w:val="toc 1"/>
    <w:basedOn w:val="Normal"/>
    <w:next w:val="Normal"/>
    <w:autoRedefine/>
    <w:uiPriority w:val="39"/>
    <w:unhideWhenUsed/>
    <w:qFormat/>
    <w:rsid w:val="00EA62AA"/>
    <w:pPr>
      <w:keepLines/>
      <w:tabs>
        <w:tab w:val="clear" w:pos="360"/>
        <w:tab w:val="clear" w:pos="720"/>
        <w:tab w:val="clear" w:pos="1080"/>
        <w:tab w:val="left" w:pos="461"/>
        <w:tab w:val="right" w:leader="dot" w:pos="9360"/>
      </w:tabs>
      <w:spacing w:before="80"/>
      <w:ind w:left="461" w:hanging="461"/>
    </w:pPr>
    <w:rPr>
      <w:noProof/>
    </w:rPr>
  </w:style>
  <w:style w:type="paragraph" w:styleId="TOC2">
    <w:name w:val="toc 2"/>
    <w:basedOn w:val="Normal"/>
    <w:next w:val="Normal"/>
    <w:autoRedefine/>
    <w:uiPriority w:val="39"/>
    <w:unhideWhenUsed/>
    <w:rsid w:val="00EA62AA"/>
    <w:pPr>
      <w:tabs>
        <w:tab w:val="clear" w:pos="360"/>
        <w:tab w:val="clear" w:pos="720"/>
        <w:tab w:val="clear" w:pos="1080"/>
        <w:tab w:val="left" w:pos="922"/>
        <w:tab w:val="right" w:leader="dot" w:pos="9360"/>
      </w:tabs>
      <w:spacing w:before="80"/>
      <w:ind w:left="922" w:hanging="461"/>
    </w:pPr>
    <w:rPr>
      <w:noProof/>
    </w:rPr>
  </w:style>
  <w:style w:type="paragraph" w:styleId="TOC3">
    <w:name w:val="toc 3"/>
    <w:basedOn w:val="Normal"/>
    <w:next w:val="Normal"/>
    <w:autoRedefine/>
    <w:uiPriority w:val="39"/>
    <w:unhideWhenUsed/>
    <w:rsid w:val="00EA62AA"/>
    <w:pPr>
      <w:tabs>
        <w:tab w:val="clear" w:pos="360"/>
        <w:tab w:val="clear" w:pos="720"/>
        <w:tab w:val="clear" w:pos="1080"/>
        <w:tab w:val="left" w:pos="1526"/>
        <w:tab w:val="right" w:leader="dot" w:pos="9360"/>
      </w:tabs>
      <w:spacing w:before="80"/>
      <w:ind w:left="1527" w:hanging="605"/>
    </w:pPr>
    <w:rPr>
      <w:noProof/>
    </w:rPr>
  </w:style>
  <w:style w:type="paragraph" w:styleId="TOC4">
    <w:name w:val="toc 4"/>
    <w:basedOn w:val="TOC1"/>
    <w:next w:val="Normal"/>
    <w:autoRedefine/>
    <w:uiPriority w:val="39"/>
    <w:qFormat/>
    <w:rsid w:val="00EA62AA"/>
    <w:pPr>
      <w:tabs>
        <w:tab w:val="clear" w:pos="461"/>
        <w:tab w:val="left" w:pos="2344"/>
      </w:tabs>
      <w:ind w:left="2340" w:hanging="821"/>
    </w:pPr>
  </w:style>
  <w:style w:type="paragraph" w:styleId="TOC5">
    <w:name w:val="toc 5"/>
    <w:basedOn w:val="Normal"/>
    <w:next w:val="Normal"/>
    <w:autoRedefine/>
    <w:uiPriority w:val="99"/>
    <w:semiHidden/>
    <w:qFormat/>
    <w:rsid w:val="00EA62AA"/>
    <w:pPr>
      <w:tabs>
        <w:tab w:val="clear" w:pos="360"/>
        <w:tab w:val="clear" w:pos="720"/>
        <w:tab w:val="clear" w:pos="1080"/>
      </w:tabs>
      <w:ind w:left="880"/>
    </w:pPr>
  </w:style>
  <w:style w:type="paragraph" w:styleId="TOC6">
    <w:name w:val="toc 6"/>
    <w:basedOn w:val="Normal"/>
    <w:next w:val="Normal"/>
    <w:autoRedefine/>
    <w:uiPriority w:val="99"/>
    <w:semiHidden/>
    <w:qFormat/>
    <w:rsid w:val="00EA62AA"/>
    <w:pPr>
      <w:tabs>
        <w:tab w:val="clear" w:pos="360"/>
        <w:tab w:val="clear" w:pos="720"/>
        <w:tab w:val="clear" w:pos="1080"/>
        <w:tab w:val="right" w:leader="dot" w:pos="9360"/>
      </w:tabs>
    </w:pPr>
  </w:style>
  <w:style w:type="paragraph" w:customStyle="1" w:styleId="TableCaption">
    <w:name w:val="Table Caption"/>
    <w:basedOn w:val="Normal"/>
    <w:semiHidden/>
    <w:unhideWhenUsed/>
    <w:rsid w:val="00EA62AA"/>
    <w:pPr>
      <w:keepNext/>
      <w:spacing w:after="180"/>
    </w:pPr>
    <w:rPr>
      <w:b/>
      <w:bCs/>
    </w:rPr>
  </w:style>
  <w:style w:type="paragraph" w:customStyle="1" w:styleId="TableHead">
    <w:name w:val="TableHead"/>
    <w:basedOn w:val="Normal"/>
    <w:semiHidden/>
    <w:unhideWhenUsed/>
    <w:qFormat/>
    <w:rsid w:val="00EA62AA"/>
    <w:pPr>
      <w:keepNext/>
      <w:spacing w:before="40" w:after="40"/>
      <w:jc w:val="center"/>
    </w:pPr>
    <w:rPr>
      <w:bCs/>
      <w:sz w:val="20"/>
    </w:rPr>
  </w:style>
  <w:style w:type="character" w:customStyle="1" w:styleId="BodyTextChar">
    <w:name w:val="Body Text Char"/>
    <w:basedOn w:val="DefaultParagraphFont"/>
    <w:link w:val="BodyText"/>
    <w:rsid w:val="00EA62AA"/>
  </w:style>
  <w:style w:type="table" w:styleId="TableList3">
    <w:name w:val="Table List 3"/>
    <w:basedOn w:val="TableNormal"/>
    <w:rsid w:val="00EA62AA"/>
    <w:pPr>
      <w:tabs>
        <w:tab w:val="left" w:pos="360"/>
        <w:tab w:val="left" w:pos="720"/>
        <w:tab w:val="left" w:pos="1080"/>
      </w:tabs>
      <w:spacing w:line="264"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PNNLStyle">
    <w:name w:val="PNNL Style"/>
    <w:basedOn w:val="TableNormal"/>
    <w:uiPriority w:val="99"/>
    <w:qFormat/>
    <w:rsid w:val="00EA62AA"/>
    <w:tblPr>
      <w:tblBorders>
        <w:top w:val="single" w:sz="8" w:space="0" w:color="auto"/>
        <w:bottom w:val="single" w:sz="8" w:space="0" w:color="auto"/>
      </w:tblBorders>
    </w:tblPr>
    <w:tblStylePr w:type="firstRow">
      <w:rPr>
        <w:rFonts w:ascii="Times New Roman" w:hAnsi="Times New Roman"/>
        <w:color w:val="auto"/>
        <w:sz w:val="20"/>
      </w:rPr>
      <w:tblPr/>
      <w:tcPr>
        <w:tcBorders>
          <w:bottom w:val="single" w:sz="8" w:space="0" w:color="auto"/>
        </w:tcBorders>
      </w:tcPr>
    </w:tblStylePr>
  </w:style>
  <w:style w:type="character" w:customStyle="1" w:styleId="HeaderChar">
    <w:name w:val="Header Char"/>
    <w:basedOn w:val="DefaultParagraphFont"/>
    <w:link w:val="Header"/>
    <w:uiPriority w:val="99"/>
    <w:rsid w:val="00EA62AA"/>
  </w:style>
  <w:style w:type="character" w:customStyle="1" w:styleId="FooterChar">
    <w:name w:val="Footer Char"/>
    <w:basedOn w:val="DefaultParagraphFont"/>
    <w:link w:val="Footer"/>
    <w:uiPriority w:val="99"/>
    <w:rsid w:val="00EA62AA"/>
  </w:style>
  <w:style w:type="paragraph" w:styleId="TOC9">
    <w:name w:val="toc 9"/>
    <w:basedOn w:val="TOC1"/>
    <w:next w:val="Normal"/>
    <w:autoRedefine/>
    <w:uiPriority w:val="39"/>
    <w:unhideWhenUsed/>
    <w:qFormat/>
    <w:rsid w:val="00EA62AA"/>
  </w:style>
  <w:style w:type="paragraph" w:customStyle="1" w:styleId="distr">
    <w:name w:val="distr"/>
    <w:basedOn w:val="Normal"/>
    <w:uiPriority w:val="99"/>
    <w:qFormat/>
    <w:rsid w:val="00EA62AA"/>
    <w:pPr>
      <w:tabs>
        <w:tab w:val="clear" w:pos="360"/>
        <w:tab w:val="clear" w:pos="1080"/>
        <w:tab w:val="left" w:pos="900"/>
        <w:tab w:val="right" w:pos="3960"/>
      </w:tabs>
      <w:ind w:left="720" w:hanging="360"/>
    </w:pPr>
  </w:style>
  <w:style w:type="paragraph" w:styleId="Title">
    <w:name w:val="Title"/>
    <w:aliases w:val="FrontMatter_Cover_Title"/>
    <w:basedOn w:val="Normal"/>
    <w:next w:val="Normal"/>
    <w:link w:val="TitleChar"/>
    <w:uiPriority w:val="99"/>
    <w:unhideWhenUsed/>
    <w:qFormat/>
    <w:rsid w:val="00357AD6"/>
    <w:pPr>
      <w:spacing w:after="360"/>
    </w:pPr>
    <w:rPr>
      <w:rFonts w:ascii="Arial" w:hAnsi="Arial" w:cs="Arial"/>
      <w:b/>
      <w:color w:val="00498F"/>
      <w:sz w:val="72"/>
      <w:szCs w:val="48"/>
    </w:rPr>
  </w:style>
  <w:style w:type="character" w:customStyle="1" w:styleId="TitleChar">
    <w:name w:val="Title Char"/>
    <w:aliases w:val="FrontMatter_Cover_Title Char"/>
    <w:basedOn w:val="DefaultParagraphFont"/>
    <w:link w:val="Title"/>
    <w:uiPriority w:val="99"/>
    <w:rsid w:val="00357AD6"/>
    <w:rPr>
      <w:rFonts w:ascii="Arial" w:hAnsi="Arial" w:cs="Arial"/>
      <w:b/>
      <w:color w:val="00498F"/>
      <w:sz w:val="72"/>
      <w:szCs w:val="48"/>
    </w:rPr>
  </w:style>
  <w:style w:type="character" w:styleId="EndnoteReference">
    <w:name w:val="endnote reference"/>
    <w:basedOn w:val="DefaultParagraphFont"/>
    <w:uiPriority w:val="2"/>
    <w:unhideWhenUsed/>
    <w:rsid w:val="00EA62AA"/>
    <w:rPr>
      <w:rFonts w:ascii="Times New Roman" w:hAnsi="Times New Roman"/>
      <w:vertAlign w:val="superscript"/>
    </w:rPr>
  </w:style>
  <w:style w:type="paragraph" w:customStyle="1" w:styleId="Figure">
    <w:name w:val="Figure"/>
    <w:basedOn w:val="Normal"/>
    <w:next w:val="Caption-Fig"/>
    <w:qFormat/>
    <w:rsid w:val="00EA62AA"/>
    <w:pPr>
      <w:keepNext/>
      <w:spacing w:before="240"/>
      <w:jc w:val="center"/>
    </w:pPr>
  </w:style>
  <w:style w:type="character" w:styleId="FollowedHyperlink">
    <w:name w:val="FollowedHyperlink"/>
    <w:basedOn w:val="DefaultParagraphFont"/>
    <w:semiHidden/>
    <w:unhideWhenUsed/>
    <w:rsid w:val="00EA62AA"/>
    <w:rPr>
      <w:color w:val="800080"/>
      <w:u w:val="single"/>
    </w:rPr>
  </w:style>
  <w:style w:type="paragraph" w:styleId="NormalWeb">
    <w:name w:val="Normal (Web)"/>
    <w:basedOn w:val="Normal"/>
    <w:semiHidden/>
    <w:unhideWhenUsed/>
    <w:rsid w:val="00EA62AA"/>
    <w:rPr>
      <w:szCs w:val="24"/>
    </w:rPr>
  </w:style>
  <w:style w:type="paragraph" w:styleId="TOCHeading">
    <w:name w:val="TOC Heading"/>
    <w:basedOn w:val="Heading1"/>
    <w:next w:val="Normal"/>
    <w:uiPriority w:val="39"/>
    <w:semiHidden/>
    <w:unhideWhenUsed/>
    <w:qFormat/>
    <w:rsid w:val="00EA62AA"/>
    <w:pPr>
      <w:keepLines/>
      <w:numPr>
        <w:numId w:val="0"/>
      </w:numPr>
      <w:spacing w:before="480" w:after="0" w:line="276" w:lineRule="auto"/>
      <w:jc w:val="left"/>
      <w:outlineLvl w:val="9"/>
    </w:pPr>
    <w:rPr>
      <w:rFonts w:ascii="Cambria" w:hAnsi="Cambria"/>
      <w:bCs/>
      <w:color w:val="365F91"/>
      <w:kern w:val="0"/>
      <w:sz w:val="28"/>
      <w:szCs w:val="28"/>
    </w:rPr>
  </w:style>
  <w:style w:type="paragraph" w:customStyle="1" w:styleId="FrontMatterCoverAuthorName">
    <w:name w:val="FrontMatter_Cover_AuthorName"/>
    <w:basedOn w:val="Normal"/>
    <w:uiPriority w:val="99"/>
    <w:qFormat/>
    <w:rsid w:val="00EA62AA"/>
    <w:pPr>
      <w:tabs>
        <w:tab w:val="clear" w:pos="360"/>
        <w:tab w:val="clear" w:pos="720"/>
        <w:tab w:val="clear" w:pos="1080"/>
        <w:tab w:val="left" w:pos="2700"/>
      </w:tabs>
      <w:spacing w:line="264" w:lineRule="auto"/>
    </w:pPr>
    <w:rPr>
      <w:rFonts w:ascii="Arial" w:eastAsiaTheme="minorEastAsia" w:hAnsi="Arial" w:cstheme="minorBidi"/>
      <w:szCs w:val="24"/>
    </w:rPr>
  </w:style>
  <w:style w:type="paragraph" w:customStyle="1" w:styleId="FrontMatterCoverDate">
    <w:name w:val="FrontMatter_Cover_Date"/>
    <w:basedOn w:val="Normal"/>
    <w:uiPriority w:val="99"/>
    <w:qFormat/>
    <w:rsid w:val="00EA62AA"/>
    <w:pPr>
      <w:tabs>
        <w:tab w:val="clear" w:pos="360"/>
        <w:tab w:val="clear" w:pos="720"/>
        <w:tab w:val="clear" w:pos="1080"/>
        <w:tab w:val="left" w:pos="2700"/>
      </w:tabs>
      <w:spacing w:after="480"/>
    </w:pPr>
    <w:rPr>
      <w:rFonts w:ascii="Arial" w:eastAsiaTheme="minorEastAsia" w:hAnsi="Arial" w:cstheme="minorBidi"/>
      <w:b/>
      <w:sz w:val="36"/>
      <w:szCs w:val="24"/>
    </w:rPr>
  </w:style>
  <w:style w:type="paragraph" w:customStyle="1" w:styleId="FrontMatterTitlePageTitle">
    <w:name w:val="FrontMatter_TitlePage_Title"/>
    <w:basedOn w:val="Normal"/>
    <w:uiPriority w:val="99"/>
    <w:qFormat/>
    <w:rsid w:val="00C4461B"/>
    <w:rPr>
      <w:rFonts w:ascii="Arial" w:hAnsi="Arial" w:cs="Arial"/>
      <w:b/>
      <w:w w:val="104"/>
      <w:sz w:val="40"/>
      <w:szCs w:val="40"/>
    </w:rPr>
  </w:style>
  <w:style w:type="paragraph" w:customStyle="1" w:styleId="FrontMatterTitlePageText">
    <w:name w:val="FrontMatter_TitlePage_Text"/>
    <w:basedOn w:val="Normal"/>
    <w:uiPriority w:val="99"/>
    <w:qFormat/>
    <w:rsid w:val="00C4461B"/>
    <w:pPr>
      <w:tabs>
        <w:tab w:val="clear" w:pos="360"/>
        <w:tab w:val="clear" w:pos="720"/>
        <w:tab w:val="clear" w:pos="1080"/>
        <w:tab w:val="left" w:pos="2880"/>
      </w:tabs>
    </w:pPr>
    <w:rPr>
      <w:sz w:val="24"/>
      <w:szCs w:val="24"/>
    </w:rPr>
  </w:style>
  <w:style w:type="paragraph" w:customStyle="1" w:styleId="Equation">
    <w:name w:val="Equation"/>
    <w:basedOn w:val="BodyText"/>
    <w:uiPriority w:val="2"/>
    <w:qFormat/>
    <w:rsid w:val="00EA62AA"/>
    <w:pPr>
      <w:tabs>
        <w:tab w:val="clear" w:pos="360"/>
        <w:tab w:val="clear" w:pos="720"/>
        <w:tab w:val="clear" w:pos="1080"/>
        <w:tab w:val="center" w:pos="4680"/>
        <w:tab w:val="right" w:pos="9360"/>
      </w:tabs>
    </w:pPr>
  </w:style>
  <w:style w:type="paragraph" w:styleId="DocumentMap">
    <w:name w:val="Document Map"/>
    <w:basedOn w:val="Normal"/>
    <w:link w:val="DocumentMapChar"/>
    <w:semiHidden/>
    <w:unhideWhenUsed/>
    <w:rsid w:val="00EA62AA"/>
    <w:rPr>
      <w:rFonts w:ascii="Tahoma" w:hAnsi="Tahoma" w:cs="Tahoma"/>
      <w:sz w:val="16"/>
      <w:szCs w:val="16"/>
    </w:rPr>
  </w:style>
  <w:style w:type="character" w:customStyle="1" w:styleId="DocumentMapChar">
    <w:name w:val="Document Map Char"/>
    <w:basedOn w:val="DefaultParagraphFont"/>
    <w:link w:val="DocumentMap"/>
    <w:semiHidden/>
    <w:rsid w:val="00EA62AA"/>
    <w:rPr>
      <w:rFonts w:ascii="Tahoma" w:hAnsi="Tahoma" w:cs="Tahoma"/>
      <w:sz w:val="16"/>
      <w:szCs w:val="16"/>
    </w:rPr>
  </w:style>
  <w:style w:type="paragraph" w:styleId="BalloonText">
    <w:name w:val="Balloon Text"/>
    <w:basedOn w:val="Normal"/>
    <w:link w:val="BalloonTextChar"/>
    <w:semiHidden/>
    <w:unhideWhenUsed/>
    <w:rsid w:val="00EA62AA"/>
    <w:rPr>
      <w:rFonts w:ascii="Tahoma" w:hAnsi="Tahoma" w:cs="Tahoma"/>
      <w:sz w:val="16"/>
      <w:szCs w:val="16"/>
    </w:rPr>
  </w:style>
  <w:style w:type="character" w:customStyle="1" w:styleId="BalloonTextChar">
    <w:name w:val="Balloon Text Char"/>
    <w:basedOn w:val="DefaultParagraphFont"/>
    <w:link w:val="BalloonText"/>
    <w:semiHidden/>
    <w:rsid w:val="00EA62AA"/>
    <w:rPr>
      <w:rFonts w:ascii="Tahoma" w:hAnsi="Tahoma" w:cs="Tahoma"/>
      <w:sz w:val="16"/>
      <w:szCs w:val="16"/>
    </w:rPr>
  </w:style>
  <w:style w:type="character" w:styleId="PlaceholderText">
    <w:name w:val="Placeholder Text"/>
    <w:basedOn w:val="DefaultParagraphFont"/>
    <w:uiPriority w:val="99"/>
    <w:semiHidden/>
    <w:rsid w:val="00EA62AA"/>
    <w:rPr>
      <w:color w:val="808080"/>
    </w:rPr>
  </w:style>
  <w:style w:type="paragraph" w:customStyle="1" w:styleId="wherestatement">
    <w:name w:val="where statement"/>
    <w:basedOn w:val="Normal"/>
    <w:qFormat/>
    <w:rsid w:val="00EA62AA"/>
    <w:pPr>
      <w:tabs>
        <w:tab w:val="clear" w:pos="360"/>
        <w:tab w:val="clear" w:pos="720"/>
        <w:tab w:val="clear" w:pos="1080"/>
        <w:tab w:val="right" w:pos="1530"/>
        <w:tab w:val="left" w:pos="1710"/>
        <w:tab w:val="left" w:pos="2070"/>
      </w:tabs>
      <w:ind w:left="2074" w:hanging="2074"/>
    </w:pPr>
  </w:style>
  <w:style w:type="character" w:customStyle="1" w:styleId="Heading6Char">
    <w:name w:val="Heading 6 Char"/>
    <w:basedOn w:val="DefaultParagraphFont"/>
    <w:link w:val="Heading6"/>
    <w:rsid w:val="00EA62AA"/>
    <w:rPr>
      <w:rFonts w:ascii="Arial" w:hAnsi="Arial"/>
      <w:b/>
      <w:sz w:val="32"/>
    </w:rPr>
  </w:style>
  <w:style w:type="character" w:customStyle="1" w:styleId="Heading1Char">
    <w:name w:val="Heading 1 Char"/>
    <w:basedOn w:val="DefaultParagraphFont"/>
    <w:link w:val="Heading1"/>
    <w:rsid w:val="00EA62AA"/>
    <w:rPr>
      <w:rFonts w:ascii="Arial" w:hAnsi="Arial"/>
      <w:b/>
      <w:kern w:val="28"/>
      <w:sz w:val="32"/>
    </w:rPr>
  </w:style>
  <w:style w:type="paragraph" w:styleId="PlainText">
    <w:name w:val="Plain Text"/>
    <w:basedOn w:val="Normal"/>
    <w:link w:val="PlainTextChar"/>
    <w:uiPriority w:val="2"/>
    <w:rsid w:val="00EA62AA"/>
    <w:pPr>
      <w:spacing w:line="264" w:lineRule="auto"/>
    </w:pPr>
    <w:rPr>
      <w:rFonts w:cs="Consolas"/>
      <w:szCs w:val="21"/>
    </w:rPr>
  </w:style>
  <w:style w:type="character" w:customStyle="1" w:styleId="PlainTextChar">
    <w:name w:val="Plain Text Char"/>
    <w:basedOn w:val="DefaultParagraphFont"/>
    <w:link w:val="PlainText"/>
    <w:uiPriority w:val="2"/>
    <w:rsid w:val="00EA62AA"/>
    <w:rPr>
      <w:rFonts w:cs="Consolas"/>
      <w:szCs w:val="21"/>
    </w:rPr>
  </w:style>
  <w:style w:type="paragraph" w:styleId="EndnoteText">
    <w:name w:val="endnote text"/>
    <w:basedOn w:val="Normal"/>
    <w:link w:val="EndnoteTextChar"/>
    <w:semiHidden/>
    <w:unhideWhenUsed/>
    <w:rsid w:val="00EA62AA"/>
    <w:rPr>
      <w:sz w:val="20"/>
      <w:szCs w:val="20"/>
    </w:rPr>
  </w:style>
  <w:style w:type="character" w:customStyle="1" w:styleId="EndnoteTextChar">
    <w:name w:val="Endnote Text Char"/>
    <w:basedOn w:val="DefaultParagraphFont"/>
    <w:link w:val="EndnoteText"/>
    <w:semiHidden/>
    <w:rsid w:val="00EA62AA"/>
    <w:rPr>
      <w:sz w:val="20"/>
      <w:szCs w:val="20"/>
    </w:rPr>
  </w:style>
  <w:style w:type="character" w:customStyle="1" w:styleId="ListNumberChar">
    <w:name w:val="List Number Char"/>
    <w:basedOn w:val="DefaultParagraphFont"/>
    <w:link w:val="ListNumber"/>
    <w:rsid w:val="00EA62AA"/>
  </w:style>
  <w:style w:type="paragraph" w:customStyle="1" w:styleId="FrontMatterCoverSubtitle">
    <w:name w:val="FrontMatter_Cover_Subtitle"/>
    <w:basedOn w:val="Normal"/>
    <w:uiPriority w:val="99"/>
    <w:qFormat/>
    <w:rsid w:val="00EA62AA"/>
    <w:pPr>
      <w:tabs>
        <w:tab w:val="clear" w:pos="360"/>
        <w:tab w:val="clear" w:pos="720"/>
        <w:tab w:val="clear" w:pos="1080"/>
        <w:tab w:val="left" w:pos="2700"/>
      </w:tabs>
      <w:spacing w:after="360"/>
    </w:pPr>
    <w:rPr>
      <w:rFonts w:ascii="Arial" w:eastAsiaTheme="minorEastAsia" w:hAnsi="Arial" w:cstheme="minorBidi"/>
      <w:sz w:val="48"/>
      <w:szCs w:val="24"/>
    </w:rPr>
  </w:style>
  <w:style w:type="paragraph" w:customStyle="1" w:styleId="AppendixTitle">
    <w:name w:val="Appendix_Title"/>
    <w:basedOn w:val="HeadingFrontNoTOC"/>
    <w:qFormat/>
    <w:rsid w:val="00EA62AA"/>
    <w:pPr>
      <w:outlineLvl w:val="9"/>
    </w:pPr>
  </w:style>
  <w:style w:type="paragraph" w:customStyle="1" w:styleId="HeaderCover">
    <w:name w:val="HeaderCover"/>
    <w:basedOn w:val="Header"/>
    <w:qFormat/>
    <w:rsid w:val="00EA62AA"/>
    <w:pPr>
      <w:tabs>
        <w:tab w:val="center" w:pos="7920"/>
      </w:tabs>
    </w:pPr>
    <w:rPr>
      <w:rFonts w:ascii="Arial" w:hAnsi="Arial"/>
    </w:rPr>
  </w:style>
  <w:style w:type="paragraph" w:customStyle="1" w:styleId="FrontMatterTitlePageSubtitle">
    <w:name w:val="FrontMatter_TitlePage_Subtitle"/>
    <w:basedOn w:val="FrontMatterTitlePageText"/>
    <w:uiPriority w:val="99"/>
    <w:qFormat/>
    <w:rsid w:val="00C4461B"/>
    <w:pPr>
      <w:spacing w:before="240"/>
    </w:pPr>
    <w:rPr>
      <w:sz w:val="28"/>
    </w:rPr>
  </w:style>
  <w:style w:type="paragraph" w:styleId="ListParagraph">
    <w:name w:val="List Paragraph"/>
    <w:basedOn w:val="Normal"/>
    <w:link w:val="ListParagraphChar"/>
    <w:uiPriority w:val="34"/>
    <w:qFormat/>
    <w:rsid w:val="00CA4BA3"/>
    <w:pPr>
      <w:tabs>
        <w:tab w:val="clear" w:pos="360"/>
        <w:tab w:val="clear" w:pos="720"/>
        <w:tab w:val="clear" w:pos="1080"/>
      </w:tabs>
      <w:ind w:left="720"/>
      <w:contextualSpacing/>
    </w:pPr>
    <w:rPr>
      <w:rFonts w:asciiTheme="minorHAnsi" w:eastAsiaTheme="minorEastAsia" w:hAnsiTheme="minorHAnsi" w:cstheme="minorBidi"/>
      <w:sz w:val="24"/>
      <w:szCs w:val="24"/>
    </w:rPr>
  </w:style>
  <w:style w:type="character" w:customStyle="1" w:styleId="ListParagraphChar">
    <w:name w:val="List Paragraph Char"/>
    <w:basedOn w:val="DefaultParagraphFont"/>
    <w:link w:val="ListParagraph"/>
    <w:uiPriority w:val="34"/>
    <w:locked/>
    <w:rsid w:val="00CA4BA3"/>
    <w:rPr>
      <w:rFonts w:asciiTheme="minorHAnsi" w:eastAsiaTheme="minorEastAsia" w:hAnsiTheme="minorHAnsi" w:cstheme="minorBidi"/>
      <w:sz w:val="24"/>
      <w:szCs w:val="24"/>
    </w:rPr>
  </w:style>
  <w:style w:type="character" w:customStyle="1" w:styleId="FootnoteTextChar">
    <w:name w:val="Footnote Text Char"/>
    <w:basedOn w:val="DefaultParagraphFont"/>
    <w:link w:val="FootnoteText"/>
    <w:rsid w:val="00CA4BA3"/>
    <w:rPr>
      <w:sz w:val="20"/>
    </w:rPr>
  </w:style>
  <w:style w:type="paragraph" w:styleId="Revision">
    <w:name w:val="Revision"/>
    <w:hidden/>
    <w:uiPriority w:val="99"/>
    <w:semiHidden/>
    <w:rsid w:val="005D7C6B"/>
    <w:rPr>
      <w:rFonts w:eastAsiaTheme="minorHAnsi"/>
      <w:sz w:val="24"/>
      <w:szCs w:val="24"/>
      <w:lang w:eastAsia="ja-JP"/>
    </w:rPr>
  </w:style>
  <w:style w:type="table" w:customStyle="1" w:styleId="TableGrid1">
    <w:name w:val="Table Grid1"/>
    <w:basedOn w:val="TableNormal"/>
    <w:next w:val="TableGrid"/>
    <w:rsid w:val="0044790B"/>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9D0470"/>
    <w:rPr>
      <w:sz w:val="18"/>
      <w:szCs w:val="18"/>
    </w:rPr>
  </w:style>
  <w:style w:type="paragraph" w:styleId="CommentText">
    <w:name w:val="annotation text"/>
    <w:basedOn w:val="Normal"/>
    <w:link w:val="CommentTextChar"/>
    <w:semiHidden/>
    <w:unhideWhenUsed/>
    <w:rsid w:val="00394C2E"/>
    <w:rPr>
      <w:sz w:val="20"/>
      <w:szCs w:val="20"/>
    </w:rPr>
  </w:style>
  <w:style w:type="character" w:customStyle="1" w:styleId="CommentTextChar">
    <w:name w:val="Comment Text Char"/>
    <w:basedOn w:val="DefaultParagraphFont"/>
    <w:link w:val="CommentText"/>
    <w:semiHidden/>
    <w:rsid w:val="00394C2E"/>
    <w:rPr>
      <w:sz w:val="20"/>
      <w:szCs w:val="20"/>
    </w:rPr>
  </w:style>
  <w:style w:type="paragraph" w:styleId="CommentSubject">
    <w:name w:val="annotation subject"/>
    <w:basedOn w:val="CommentText"/>
    <w:next w:val="CommentText"/>
    <w:link w:val="CommentSubjectChar"/>
    <w:semiHidden/>
    <w:unhideWhenUsed/>
    <w:rsid w:val="00394C2E"/>
    <w:rPr>
      <w:b/>
      <w:bCs/>
    </w:rPr>
  </w:style>
  <w:style w:type="character" w:customStyle="1" w:styleId="CommentSubjectChar">
    <w:name w:val="Comment Subject Char"/>
    <w:basedOn w:val="CommentTextChar"/>
    <w:link w:val="CommentSubject"/>
    <w:semiHidden/>
    <w:rsid w:val="00394C2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1686">
      <w:bodyDiv w:val="1"/>
      <w:marLeft w:val="0"/>
      <w:marRight w:val="0"/>
      <w:marTop w:val="0"/>
      <w:marBottom w:val="0"/>
      <w:divBdr>
        <w:top w:val="none" w:sz="0" w:space="0" w:color="auto"/>
        <w:left w:val="none" w:sz="0" w:space="0" w:color="auto"/>
        <w:bottom w:val="none" w:sz="0" w:space="0" w:color="auto"/>
        <w:right w:val="none" w:sz="0" w:space="0" w:color="auto"/>
      </w:divBdr>
    </w:div>
    <w:div w:id="379669033">
      <w:bodyDiv w:val="1"/>
      <w:marLeft w:val="0"/>
      <w:marRight w:val="0"/>
      <w:marTop w:val="0"/>
      <w:marBottom w:val="0"/>
      <w:divBdr>
        <w:top w:val="none" w:sz="0" w:space="0" w:color="auto"/>
        <w:left w:val="none" w:sz="0" w:space="0" w:color="auto"/>
        <w:bottom w:val="none" w:sz="0" w:space="0" w:color="auto"/>
        <w:right w:val="none" w:sz="0" w:space="0" w:color="auto"/>
      </w:divBdr>
    </w:div>
    <w:div w:id="592132892">
      <w:bodyDiv w:val="1"/>
      <w:marLeft w:val="0"/>
      <w:marRight w:val="0"/>
      <w:marTop w:val="0"/>
      <w:marBottom w:val="0"/>
      <w:divBdr>
        <w:top w:val="none" w:sz="0" w:space="0" w:color="auto"/>
        <w:left w:val="none" w:sz="0" w:space="0" w:color="auto"/>
        <w:bottom w:val="none" w:sz="0" w:space="0" w:color="auto"/>
        <w:right w:val="none" w:sz="0" w:space="0" w:color="auto"/>
      </w:divBdr>
    </w:div>
    <w:div w:id="915211035">
      <w:bodyDiv w:val="1"/>
      <w:marLeft w:val="0"/>
      <w:marRight w:val="0"/>
      <w:marTop w:val="0"/>
      <w:marBottom w:val="0"/>
      <w:divBdr>
        <w:top w:val="none" w:sz="0" w:space="0" w:color="auto"/>
        <w:left w:val="none" w:sz="0" w:space="0" w:color="auto"/>
        <w:bottom w:val="none" w:sz="0" w:space="0" w:color="auto"/>
        <w:right w:val="none" w:sz="0" w:space="0" w:color="auto"/>
      </w:divBdr>
    </w:div>
    <w:div w:id="928005159">
      <w:bodyDiv w:val="1"/>
      <w:marLeft w:val="0"/>
      <w:marRight w:val="0"/>
      <w:marTop w:val="0"/>
      <w:marBottom w:val="0"/>
      <w:divBdr>
        <w:top w:val="none" w:sz="0" w:space="0" w:color="auto"/>
        <w:left w:val="none" w:sz="0" w:space="0" w:color="auto"/>
        <w:bottom w:val="none" w:sz="0" w:space="0" w:color="auto"/>
        <w:right w:val="none" w:sz="0" w:space="0" w:color="auto"/>
      </w:divBdr>
    </w:div>
    <w:div w:id="955020961">
      <w:bodyDiv w:val="1"/>
      <w:marLeft w:val="0"/>
      <w:marRight w:val="0"/>
      <w:marTop w:val="0"/>
      <w:marBottom w:val="0"/>
      <w:divBdr>
        <w:top w:val="none" w:sz="0" w:space="0" w:color="auto"/>
        <w:left w:val="none" w:sz="0" w:space="0" w:color="auto"/>
        <w:bottom w:val="none" w:sz="0" w:space="0" w:color="auto"/>
        <w:right w:val="none" w:sz="0" w:space="0" w:color="auto"/>
      </w:divBdr>
    </w:div>
    <w:div w:id="1047754143">
      <w:bodyDiv w:val="1"/>
      <w:marLeft w:val="0"/>
      <w:marRight w:val="0"/>
      <w:marTop w:val="0"/>
      <w:marBottom w:val="0"/>
      <w:divBdr>
        <w:top w:val="none" w:sz="0" w:space="0" w:color="auto"/>
        <w:left w:val="none" w:sz="0" w:space="0" w:color="auto"/>
        <w:bottom w:val="none" w:sz="0" w:space="0" w:color="auto"/>
        <w:right w:val="none" w:sz="0" w:space="0" w:color="auto"/>
      </w:divBdr>
    </w:div>
    <w:div w:id="1153372948">
      <w:bodyDiv w:val="1"/>
      <w:marLeft w:val="0"/>
      <w:marRight w:val="0"/>
      <w:marTop w:val="0"/>
      <w:marBottom w:val="0"/>
      <w:divBdr>
        <w:top w:val="none" w:sz="0" w:space="0" w:color="auto"/>
        <w:left w:val="none" w:sz="0" w:space="0" w:color="auto"/>
        <w:bottom w:val="none" w:sz="0" w:space="0" w:color="auto"/>
        <w:right w:val="none" w:sz="0" w:space="0" w:color="auto"/>
      </w:divBdr>
    </w:div>
    <w:div w:id="1288465302">
      <w:bodyDiv w:val="1"/>
      <w:marLeft w:val="0"/>
      <w:marRight w:val="0"/>
      <w:marTop w:val="0"/>
      <w:marBottom w:val="0"/>
      <w:divBdr>
        <w:top w:val="none" w:sz="0" w:space="0" w:color="auto"/>
        <w:left w:val="none" w:sz="0" w:space="0" w:color="auto"/>
        <w:bottom w:val="none" w:sz="0" w:space="0" w:color="auto"/>
        <w:right w:val="none" w:sz="0" w:space="0" w:color="auto"/>
      </w:divBdr>
    </w:div>
    <w:div w:id="1289623042">
      <w:bodyDiv w:val="1"/>
      <w:marLeft w:val="0"/>
      <w:marRight w:val="0"/>
      <w:marTop w:val="0"/>
      <w:marBottom w:val="0"/>
      <w:divBdr>
        <w:top w:val="none" w:sz="0" w:space="0" w:color="auto"/>
        <w:left w:val="none" w:sz="0" w:space="0" w:color="auto"/>
        <w:bottom w:val="none" w:sz="0" w:space="0" w:color="auto"/>
        <w:right w:val="none" w:sz="0" w:space="0" w:color="auto"/>
      </w:divBdr>
    </w:div>
    <w:div w:id="1450320387">
      <w:bodyDiv w:val="1"/>
      <w:marLeft w:val="0"/>
      <w:marRight w:val="0"/>
      <w:marTop w:val="0"/>
      <w:marBottom w:val="0"/>
      <w:divBdr>
        <w:top w:val="none" w:sz="0" w:space="0" w:color="auto"/>
        <w:left w:val="none" w:sz="0" w:space="0" w:color="auto"/>
        <w:bottom w:val="none" w:sz="0" w:space="0" w:color="auto"/>
        <w:right w:val="none" w:sz="0" w:space="0" w:color="auto"/>
      </w:divBdr>
    </w:div>
    <w:div w:id="1478842635">
      <w:bodyDiv w:val="1"/>
      <w:marLeft w:val="0"/>
      <w:marRight w:val="0"/>
      <w:marTop w:val="0"/>
      <w:marBottom w:val="0"/>
      <w:divBdr>
        <w:top w:val="none" w:sz="0" w:space="0" w:color="auto"/>
        <w:left w:val="none" w:sz="0" w:space="0" w:color="auto"/>
        <w:bottom w:val="none" w:sz="0" w:space="0" w:color="auto"/>
        <w:right w:val="none" w:sz="0" w:space="0" w:color="auto"/>
      </w:divBdr>
    </w:div>
    <w:div w:id="1590313147">
      <w:bodyDiv w:val="1"/>
      <w:marLeft w:val="0"/>
      <w:marRight w:val="0"/>
      <w:marTop w:val="0"/>
      <w:marBottom w:val="0"/>
      <w:divBdr>
        <w:top w:val="none" w:sz="0" w:space="0" w:color="auto"/>
        <w:left w:val="none" w:sz="0" w:space="0" w:color="auto"/>
        <w:bottom w:val="none" w:sz="0" w:space="0" w:color="auto"/>
        <w:right w:val="none" w:sz="0" w:space="0" w:color="auto"/>
      </w:divBdr>
    </w:div>
    <w:div w:id="1732271630">
      <w:bodyDiv w:val="1"/>
      <w:marLeft w:val="0"/>
      <w:marRight w:val="0"/>
      <w:marTop w:val="0"/>
      <w:marBottom w:val="0"/>
      <w:divBdr>
        <w:top w:val="none" w:sz="0" w:space="0" w:color="auto"/>
        <w:left w:val="none" w:sz="0" w:space="0" w:color="auto"/>
        <w:bottom w:val="none" w:sz="0" w:space="0" w:color="auto"/>
        <w:right w:val="none" w:sz="0" w:space="0" w:color="auto"/>
      </w:divBdr>
    </w:div>
    <w:div w:id="1847012604">
      <w:bodyDiv w:val="1"/>
      <w:marLeft w:val="0"/>
      <w:marRight w:val="0"/>
      <w:marTop w:val="0"/>
      <w:marBottom w:val="0"/>
      <w:divBdr>
        <w:top w:val="none" w:sz="0" w:space="0" w:color="auto"/>
        <w:left w:val="none" w:sz="0" w:space="0" w:color="auto"/>
        <w:bottom w:val="none" w:sz="0" w:space="0" w:color="auto"/>
        <w:right w:val="none" w:sz="0" w:space="0" w:color="auto"/>
      </w:divBdr>
    </w:div>
    <w:div w:id="1972981191">
      <w:bodyDiv w:val="1"/>
      <w:marLeft w:val="0"/>
      <w:marRight w:val="0"/>
      <w:marTop w:val="0"/>
      <w:marBottom w:val="0"/>
      <w:divBdr>
        <w:top w:val="none" w:sz="0" w:space="0" w:color="auto"/>
        <w:left w:val="none" w:sz="0" w:space="0" w:color="auto"/>
        <w:bottom w:val="none" w:sz="0" w:space="0" w:color="auto"/>
        <w:right w:val="none" w:sz="0" w:space="0" w:color="auto"/>
      </w:divBdr>
    </w:div>
    <w:div w:id="2039500757">
      <w:bodyDiv w:val="1"/>
      <w:marLeft w:val="0"/>
      <w:marRight w:val="0"/>
      <w:marTop w:val="0"/>
      <w:marBottom w:val="0"/>
      <w:divBdr>
        <w:top w:val="none" w:sz="0" w:space="0" w:color="auto"/>
        <w:left w:val="none" w:sz="0" w:space="0" w:color="auto"/>
        <w:bottom w:val="none" w:sz="0" w:space="0" w:color="auto"/>
        <w:right w:val="none" w:sz="0" w:space="0" w:color="auto"/>
      </w:divBdr>
    </w:div>
    <w:div w:id="2080899236">
      <w:bodyDiv w:val="1"/>
      <w:marLeft w:val="0"/>
      <w:marRight w:val="0"/>
      <w:marTop w:val="0"/>
      <w:marBottom w:val="0"/>
      <w:divBdr>
        <w:top w:val="none" w:sz="0" w:space="0" w:color="auto"/>
        <w:left w:val="none" w:sz="0" w:space="0" w:color="auto"/>
        <w:bottom w:val="none" w:sz="0" w:space="0" w:color="auto"/>
        <w:right w:val="none" w:sz="0" w:space="0" w:color="auto"/>
      </w:divBdr>
    </w:div>
    <w:div w:id="2093162318">
      <w:bodyDiv w:val="1"/>
      <w:marLeft w:val="0"/>
      <w:marRight w:val="0"/>
      <w:marTop w:val="0"/>
      <w:marBottom w:val="0"/>
      <w:divBdr>
        <w:top w:val="none" w:sz="0" w:space="0" w:color="auto"/>
        <w:left w:val="none" w:sz="0" w:space="0" w:color="auto"/>
        <w:bottom w:val="none" w:sz="0" w:space="0" w:color="auto"/>
        <w:right w:val="none" w:sz="0" w:space="0" w:color="auto"/>
      </w:divBdr>
    </w:div>
    <w:div w:id="2114398976">
      <w:bodyDiv w:val="1"/>
      <w:marLeft w:val="0"/>
      <w:marRight w:val="0"/>
      <w:marTop w:val="0"/>
      <w:marBottom w:val="0"/>
      <w:divBdr>
        <w:top w:val="none" w:sz="0" w:space="0" w:color="auto"/>
        <w:left w:val="none" w:sz="0" w:space="0" w:color="auto"/>
        <w:bottom w:val="none" w:sz="0" w:space="0" w:color="auto"/>
        <w:right w:val="none" w:sz="0" w:space="0" w:color="auto"/>
      </w:divBdr>
    </w:div>
    <w:div w:id="214041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7.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6.png"/><Relationship Id="rId5" Type="http://schemas.openxmlformats.org/officeDocument/2006/relationships/styles" Target="style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footer" Target="footer8.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programs.dsireusa.org/system/program/detail/2510" TargetMode="External"/><Relationship Id="rId3" Type="http://schemas.openxmlformats.org/officeDocument/2006/relationships/hyperlink" Target="http://www.global-rates.com/interest-rates/libor/american-dollar/usd-libor-interest-rate-12-months.aspx" TargetMode="External"/><Relationship Id="rId7" Type="http://schemas.openxmlformats.org/officeDocument/2006/relationships/hyperlink" Target="http://programs.dsireusa.org/system/program/detail/3080" TargetMode="External"/><Relationship Id="rId2" Type="http://schemas.openxmlformats.org/officeDocument/2006/relationships/hyperlink" Target="http://programs.dsireusa.org/system/program/detail/918" TargetMode="External"/><Relationship Id="rId1" Type="http://schemas.openxmlformats.org/officeDocument/2006/relationships/hyperlink" Target="http://www.akenergyauthority.org/Programs/PCE" TargetMode="External"/><Relationship Id="rId6" Type="http://schemas.openxmlformats.org/officeDocument/2006/relationships/hyperlink" Target="http://programs.dsireusa.org/system/program/detail/115" TargetMode="External"/><Relationship Id="rId11" Type="http://schemas.openxmlformats.org/officeDocument/2006/relationships/hyperlink" Target="http://programs.dsireusa.org/system/program/detail/734" TargetMode="External"/><Relationship Id="rId5" Type="http://schemas.openxmlformats.org/officeDocument/2006/relationships/hyperlink" Target="https://trading2.fast-trade.com/fmsbonds/bondsearch.do?pager.offset=70" TargetMode="External"/><Relationship Id="rId10" Type="http://schemas.openxmlformats.org/officeDocument/2006/relationships/hyperlink" Target="http://programs.dsireusa.org/system/program/detail/658" TargetMode="External"/><Relationship Id="rId4" Type="http://schemas.openxmlformats.org/officeDocument/2006/relationships/hyperlink" Target="http://markets.on.nytimes.com/research/markets/bonds/bonds.asp" TargetMode="External"/><Relationship Id="rId9" Type="http://schemas.openxmlformats.org/officeDocument/2006/relationships/hyperlink" Target="http://programs.dsireusa.org/system/program/detail/9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swiss"/>
    <w:pitch w:val="fixed"/>
    <w:sig w:usb0="E10002FF" w:usb1="4000FCFF" w:usb2="00000009"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67FD"/>
    <w:rsid w:val="00111A05"/>
    <w:rsid w:val="001A113A"/>
    <w:rsid w:val="001A67FD"/>
    <w:rsid w:val="001D62E5"/>
    <w:rsid w:val="00252527"/>
    <w:rsid w:val="002A7638"/>
    <w:rsid w:val="002B77F1"/>
    <w:rsid w:val="002D308E"/>
    <w:rsid w:val="00491E8F"/>
    <w:rsid w:val="004B33BA"/>
    <w:rsid w:val="0071654B"/>
    <w:rsid w:val="00804868"/>
    <w:rsid w:val="008553DE"/>
    <w:rsid w:val="008A6AB7"/>
    <w:rsid w:val="008E0368"/>
    <w:rsid w:val="00920EEB"/>
    <w:rsid w:val="00963C19"/>
    <w:rsid w:val="009A1F11"/>
    <w:rsid w:val="00A017BC"/>
    <w:rsid w:val="00A26585"/>
    <w:rsid w:val="00AD65EF"/>
    <w:rsid w:val="00AF096C"/>
    <w:rsid w:val="00B02505"/>
    <w:rsid w:val="00B0774E"/>
    <w:rsid w:val="00B10004"/>
    <w:rsid w:val="00B1223E"/>
    <w:rsid w:val="00B54C37"/>
    <w:rsid w:val="00B86BAA"/>
    <w:rsid w:val="00DB2271"/>
    <w:rsid w:val="00FC3E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58012BC2208F84CA60442111E6D89E2">
    <w:name w:val="B58012BC2208F84CA60442111E6D89E2"/>
  </w:style>
  <w:style w:type="paragraph" w:customStyle="1" w:styleId="04D5D4E1668D004A95DBFA8FA5F3A0CB">
    <w:name w:val="04D5D4E1668D004A95DBFA8FA5F3A0CB"/>
  </w:style>
  <w:style w:type="paragraph" w:customStyle="1" w:styleId="F798AAE4B701D541877F0DFAF4513617">
    <w:name w:val="F798AAE4B701D541877F0DFAF4513617"/>
  </w:style>
  <w:style w:type="paragraph" w:customStyle="1" w:styleId="6B4FC0DCF8A9B64D9DA6F212D25596BF">
    <w:name w:val="6B4FC0DCF8A9B64D9DA6F212D25596BF"/>
  </w:style>
  <w:style w:type="paragraph" w:customStyle="1" w:styleId="B039BB08FAF23445AD2AFC7711198CA8">
    <w:name w:val="B039BB08FAF23445AD2AFC7711198CA8"/>
    <w:rsid w:val="001A67FD"/>
  </w:style>
  <w:style w:type="paragraph" w:customStyle="1" w:styleId="772C20209684CC44B20ED9E4B53F7A22">
    <w:name w:val="772C20209684CC44B20ED9E4B53F7A22"/>
    <w:rsid w:val="001A67FD"/>
  </w:style>
  <w:style w:type="paragraph" w:customStyle="1" w:styleId="76594AD6EE4E0E4E89189650AE1F50A8">
    <w:name w:val="76594AD6EE4E0E4E89189650AE1F50A8"/>
    <w:rsid w:val="001A67FD"/>
  </w:style>
  <w:style w:type="paragraph" w:customStyle="1" w:styleId="B7562711F22B83469B5FD5B9A1A0E632">
    <w:name w:val="B7562711F22B83469B5FD5B9A1A0E632"/>
    <w:rsid w:val="001A67FD"/>
  </w:style>
  <w:style w:type="paragraph" w:customStyle="1" w:styleId="CAC606B27A772446AB4A1356D1EE9CB2">
    <w:name w:val="CAC606B27A772446AB4A1356D1EE9CB2"/>
    <w:rsid w:val="001A67FD"/>
  </w:style>
  <w:style w:type="paragraph" w:customStyle="1" w:styleId="DAF29DEAFB393E4CB0B979C8FFFDB839">
    <w:name w:val="DAF29DEAFB393E4CB0B979C8FFFDB839"/>
    <w:rsid w:val="001A67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PNNL">
  <a:themeElements>
    <a:clrScheme name="PNNL Brand Theme 2">
      <a:dk1>
        <a:srgbClr val="707276"/>
      </a:dk1>
      <a:lt1>
        <a:srgbClr val="FFFFFF"/>
      </a:lt1>
      <a:dk2>
        <a:srgbClr val="D57500"/>
      </a:dk2>
      <a:lt2>
        <a:srgbClr val="B2B3B5"/>
      </a:lt2>
      <a:accent1>
        <a:srgbClr val="A83C0F"/>
      </a:accent1>
      <a:accent2>
        <a:srgbClr val="242424"/>
      </a:accent2>
      <a:accent3>
        <a:srgbClr val="F1AB00"/>
      </a:accent3>
      <a:accent4>
        <a:srgbClr val="007229"/>
      </a:accent4>
      <a:accent5>
        <a:srgbClr val="C10435"/>
      </a:accent5>
      <a:accent6>
        <a:srgbClr val="007FAC"/>
      </a:accent6>
      <a:hlink>
        <a:srgbClr val="003698"/>
      </a:hlink>
      <a:folHlink>
        <a:srgbClr val="8A0752"/>
      </a:folHlink>
    </a:clrScheme>
    <a:fontScheme name="PNNL Custom">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AFD3FA-79EE-4AF8-A72B-55EE7C542571}">
  <ds:schemaRefs>
    <ds:schemaRef ds:uri="http://schemas.microsoft.com/office/2006/customDocumentInformationPanel"/>
  </ds:schemaRefs>
</ds:datastoreItem>
</file>

<file path=customXml/itemProps3.xml><?xml version="1.0" encoding="utf-8"?>
<ds:datastoreItem xmlns:ds="http://schemas.openxmlformats.org/officeDocument/2006/customXml" ds:itemID="{7C0E1568-BC5A-4C8E-9BE9-FE6798167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8774</Words>
  <Characters>50012</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58669</CharactersWithSpaces>
  <SharedDoc>false</SharedDoc>
  <HLinks>
    <vt:vector size="54" baseType="variant">
      <vt:variant>
        <vt:i4>1114165</vt:i4>
      </vt:variant>
      <vt:variant>
        <vt:i4>41</vt:i4>
      </vt:variant>
      <vt:variant>
        <vt:i4>0</vt:i4>
      </vt:variant>
      <vt:variant>
        <vt:i4>5</vt:i4>
      </vt:variant>
      <vt:variant>
        <vt:lpwstr/>
      </vt:variant>
      <vt:variant>
        <vt:lpwstr>_Toc195079668</vt:lpwstr>
      </vt:variant>
      <vt:variant>
        <vt:i4>1114165</vt:i4>
      </vt:variant>
      <vt:variant>
        <vt:i4>35</vt:i4>
      </vt:variant>
      <vt:variant>
        <vt:i4>0</vt:i4>
      </vt:variant>
      <vt:variant>
        <vt:i4>5</vt:i4>
      </vt:variant>
      <vt:variant>
        <vt:lpwstr/>
      </vt:variant>
      <vt:variant>
        <vt:lpwstr>_Toc195079667</vt:lpwstr>
      </vt:variant>
      <vt:variant>
        <vt:i4>1114165</vt:i4>
      </vt:variant>
      <vt:variant>
        <vt:i4>29</vt:i4>
      </vt:variant>
      <vt:variant>
        <vt:i4>0</vt:i4>
      </vt:variant>
      <vt:variant>
        <vt:i4>5</vt:i4>
      </vt:variant>
      <vt:variant>
        <vt:lpwstr/>
      </vt:variant>
      <vt:variant>
        <vt:lpwstr>_Toc195079666</vt:lpwstr>
      </vt:variant>
      <vt:variant>
        <vt:i4>1114165</vt:i4>
      </vt:variant>
      <vt:variant>
        <vt:i4>23</vt:i4>
      </vt:variant>
      <vt:variant>
        <vt:i4>0</vt:i4>
      </vt:variant>
      <vt:variant>
        <vt:i4>5</vt:i4>
      </vt:variant>
      <vt:variant>
        <vt:lpwstr/>
      </vt:variant>
      <vt:variant>
        <vt:lpwstr>_Toc195079665</vt:lpwstr>
      </vt:variant>
      <vt:variant>
        <vt:i4>1114165</vt:i4>
      </vt:variant>
      <vt:variant>
        <vt:i4>17</vt:i4>
      </vt:variant>
      <vt:variant>
        <vt:i4>0</vt:i4>
      </vt:variant>
      <vt:variant>
        <vt:i4>5</vt:i4>
      </vt:variant>
      <vt:variant>
        <vt:lpwstr/>
      </vt:variant>
      <vt:variant>
        <vt:lpwstr>_Toc195079664</vt:lpwstr>
      </vt:variant>
      <vt:variant>
        <vt:i4>1114165</vt:i4>
      </vt:variant>
      <vt:variant>
        <vt:i4>11</vt:i4>
      </vt:variant>
      <vt:variant>
        <vt:i4>0</vt:i4>
      </vt:variant>
      <vt:variant>
        <vt:i4>5</vt:i4>
      </vt:variant>
      <vt:variant>
        <vt:lpwstr/>
      </vt:variant>
      <vt:variant>
        <vt:lpwstr>_Toc195079663</vt:lpwstr>
      </vt:variant>
      <vt:variant>
        <vt:i4>262169</vt:i4>
      </vt:variant>
      <vt:variant>
        <vt:i4>6</vt:i4>
      </vt:variant>
      <vt:variant>
        <vt:i4>0</vt:i4>
      </vt:variant>
      <vt:variant>
        <vt:i4>5</vt:i4>
      </vt:variant>
      <vt:variant>
        <vt:lpwstr>http://sbms.pnl.gov/standard/85/8504e050.pdf</vt:lpwstr>
      </vt:variant>
      <vt:variant>
        <vt:lpwstr/>
      </vt:variant>
      <vt:variant>
        <vt:i4>262174</vt:i4>
      </vt:variant>
      <vt:variant>
        <vt:i4>3</vt:i4>
      </vt:variant>
      <vt:variant>
        <vt:i4>0</vt:i4>
      </vt:variant>
      <vt:variant>
        <vt:i4>5</vt:i4>
      </vt:variant>
      <vt:variant>
        <vt:lpwstr>http://sbms.pnl.gov/standard/85/8504e020.pdf</vt:lpwstr>
      </vt:variant>
      <vt:variant>
        <vt:lpwstr/>
      </vt:variant>
      <vt:variant>
        <vt:i4>262175</vt:i4>
      </vt:variant>
      <vt:variant>
        <vt:i4>0</vt:i4>
      </vt:variant>
      <vt:variant>
        <vt:i4>0</vt:i4>
      </vt:variant>
      <vt:variant>
        <vt:i4>5</vt:i4>
      </vt:variant>
      <vt:variant>
        <vt:lpwstr>http://sbms.pnl.gov/standard/85/8504e030.pdf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2017-12-20T21:15:00Z</dcterms:created>
  <dcterms:modified xsi:type="dcterms:W3CDTF">2017-12-20T21:15:00Z</dcterms:modified>
  <cp:contentStatus/>
</cp:coreProperties>
</file>